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6DB7" w14:textId="525CD8C7" w:rsidR="00054287" w:rsidRPr="005569AA" w:rsidRDefault="001B1B45" w:rsidP="006E47AC">
      <w:pPr>
        <w:pStyle w:val="NoSpacing"/>
        <w:ind w:firstLine="720"/>
        <w:jc w:val="center"/>
        <w:rPr>
          <w:b/>
          <w:bCs/>
          <w:sz w:val="28"/>
          <w:szCs w:val="28"/>
        </w:rPr>
      </w:pPr>
      <w:r w:rsidRPr="005569AA">
        <w:rPr>
          <w:b/>
          <w:bCs/>
          <w:sz w:val="28"/>
          <w:szCs w:val="28"/>
        </w:rPr>
        <w:t xml:space="preserve">                                                                </w:t>
      </w:r>
      <w:r w:rsidR="00054287" w:rsidRPr="005569AA">
        <w:rPr>
          <w:b/>
          <w:bCs/>
          <w:sz w:val="28"/>
          <w:szCs w:val="28"/>
        </w:rPr>
        <w:t>London Borough of Harrow</w:t>
      </w:r>
    </w:p>
    <w:p w14:paraId="0AAB947C" w14:textId="54E9A0B5" w:rsidR="00911130" w:rsidRPr="005569AA" w:rsidRDefault="006E47AC" w:rsidP="006E47AC">
      <w:pPr>
        <w:pStyle w:val="NoSpacing"/>
        <w:jc w:val="center"/>
        <w:rPr>
          <w:b/>
          <w:bCs/>
          <w:sz w:val="28"/>
          <w:szCs w:val="28"/>
        </w:rPr>
      </w:pPr>
      <w:r w:rsidRPr="005569AA">
        <w:rPr>
          <w:b/>
          <w:bCs/>
          <w:sz w:val="28"/>
          <w:szCs w:val="28"/>
        </w:rPr>
        <w:t xml:space="preserve">           </w:t>
      </w:r>
      <w:r w:rsidR="001B1B45" w:rsidRPr="005569AA">
        <w:rPr>
          <w:b/>
          <w:bCs/>
          <w:sz w:val="28"/>
          <w:szCs w:val="28"/>
        </w:rPr>
        <w:t xml:space="preserve">                                                                 </w:t>
      </w:r>
      <w:r w:rsidR="002A1CE0" w:rsidRPr="005569AA">
        <w:rPr>
          <w:b/>
          <w:bCs/>
          <w:sz w:val="28"/>
          <w:szCs w:val="28"/>
        </w:rPr>
        <w:t xml:space="preserve">Peer </w:t>
      </w:r>
      <w:r w:rsidR="00054287" w:rsidRPr="005569AA">
        <w:rPr>
          <w:b/>
          <w:bCs/>
          <w:sz w:val="28"/>
          <w:szCs w:val="28"/>
        </w:rPr>
        <w:t>R</w:t>
      </w:r>
      <w:r w:rsidR="002A1CE0" w:rsidRPr="005569AA">
        <w:rPr>
          <w:b/>
          <w:bCs/>
          <w:sz w:val="28"/>
          <w:szCs w:val="28"/>
        </w:rPr>
        <w:t xml:space="preserve">eview </w:t>
      </w:r>
      <w:r w:rsidR="00812500" w:rsidRPr="005569AA">
        <w:rPr>
          <w:b/>
          <w:bCs/>
          <w:sz w:val="28"/>
          <w:szCs w:val="28"/>
        </w:rPr>
        <w:t>Response</w:t>
      </w:r>
    </w:p>
    <w:p w14:paraId="2758697C" w14:textId="05D38DE5" w:rsidR="00054287" w:rsidRPr="005569AA" w:rsidRDefault="00054287" w:rsidP="002A1CE0">
      <w:pPr>
        <w:pStyle w:val="NoSpacing"/>
        <w:rPr>
          <w:sz w:val="24"/>
          <w:szCs w:val="24"/>
        </w:rPr>
      </w:pPr>
    </w:p>
    <w:p w14:paraId="0BB77987" w14:textId="77777777" w:rsidR="001B1B45" w:rsidRPr="005569AA" w:rsidRDefault="001B1B45" w:rsidP="002A1CE0">
      <w:pPr>
        <w:pStyle w:val="NoSpacing"/>
        <w:rPr>
          <w:sz w:val="24"/>
          <w:szCs w:val="24"/>
        </w:rPr>
      </w:pPr>
    </w:p>
    <w:p w14:paraId="7BABD56E" w14:textId="2D9C62AC" w:rsidR="00054287" w:rsidRPr="005569AA" w:rsidRDefault="00054287" w:rsidP="00365ED7">
      <w:pPr>
        <w:pStyle w:val="NoSpacing"/>
        <w:rPr>
          <w:sz w:val="24"/>
          <w:szCs w:val="24"/>
        </w:rPr>
      </w:pPr>
      <w:r w:rsidRPr="005569AA">
        <w:rPr>
          <w:sz w:val="24"/>
          <w:szCs w:val="24"/>
        </w:rPr>
        <w:t>In February 2023</w:t>
      </w:r>
      <w:r w:rsidR="000A0E4C" w:rsidRPr="005569AA">
        <w:rPr>
          <w:sz w:val="24"/>
          <w:szCs w:val="24"/>
        </w:rPr>
        <w:t>,</w:t>
      </w:r>
      <w:r w:rsidRPr="005569AA">
        <w:rPr>
          <w:sz w:val="24"/>
          <w:szCs w:val="24"/>
        </w:rPr>
        <w:t xml:space="preserve"> the London Borough of Harrow invited a peer challenge from the Local Government Association (LGA)</w:t>
      </w:r>
      <w:r w:rsidR="00365ED7" w:rsidRPr="005569AA">
        <w:rPr>
          <w:sz w:val="24"/>
          <w:szCs w:val="24"/>
        </w:rPr>
        <w:t xml:space="preserve"> having gone through a period of significant change</w:t>
      </w:r>
      <w:r w:rsidR="00C078C4" w:rsidRPr="005569AA">
        <w:rPr>
          <w:sz w:val="24"/>
          <w:szCs w:val="24"/>
        </w:rPr>
        <w:t xml:space="preserve">. The LGA identified </w:t>
      </w:r>
      <w:r w:rsidR="00612669" w:rsidRPr="005569AA">
        <w:rPr>
          <w:sz w:val="24"/>
          <w:szCs w:val="24"/>
        </w:rPr>
        <w:t xml:space="preserve">it is an exciting time for Harrow: </w:t>
      </w:r>
      <w:r w:rsidR="00365ED7" w:rsidRPr="005569AA">
        <w:rPr>
          <w:sz w:val="24"/>
          <w:szCs w:val="24"/>
        </w:rPr>
        <w:t>a time of transition with new ambitious plans for the organisation and the borough</w:t>
      </w:r>
      <w:r w:rsidR="004024BF" w:rsidRPr="005569AA">
        <w:rPr>
          <w:sz w:val="24"/>
          <w:szCs w:val="24"/>
        </w:rPr>
        <w:t xml:space="preserve">, notwithstanding areas of improvement. </w:t>
      </w:r>
    </w:p>
    <w:p w14:paraId="07234D45" w14:textId="70581034" w:rsidR="00365ED7" w:rsidRPr="005569AA" w:rsidRDefault="00365ED7" w:rsidP="00365ED7">
      <w:pPr>
        <w:pStyle w:val="NoSpacing"/>
        <w:rPr>
          <w:sz w:val="24"/>
          <w:szCs w:val="24"/>
        </w:rPr>
      </w:pPr>
    </w:p>
    <w:p w14:paraId="5B82C7BC" w14:textId="4691632F" w:rsidR="00365ED7" w:rsidRPr="005569AA" w:rsidRDefault="0089144D" w:rsidP="002A1CE0">
      <w:pPr>
        <w:pStyle w:val="NoSpacing"/>
        <w:rPr>
          <w:sz w:val="24"/>
          <w:szCs w:val="24"/>
        </w:rPr>
      </w:pPr>
      <w:r w:rsidRPr="005569AA">
        <w:rPr>
          <w:sz w:val="24"/>
          <w:szCs w:val="24"/>
        </w:rPr>
        <w:t>T</w:t>
      </w:r>
      <w:r w:rsidR="00054287" w:rsidRPr="005569AA">
        <w:rPr>
          <w:sz w:val="24"/>
          <w:szCs w:val="24"/>
        </w:rPr>
        <w:t>his action plan</w:t>
      </w:r>
      <w:r w:rsidR="00365ED7" w:rsidRPr="005569AA">
        <w:rPr>
          <w:sz w:val="24"/>
          <w:szCs w:val="24"/>
        </w:rPr>
        <w:t xml:space="preserve"> has been prepared in response to the recommendations</w:t>
      </w:r>
      <w:r w:rsidR="6DCCE858" w:rsidRPr="005569AA">
        <w:rPr>
          <w:sz w:val="24"/>
          <w:szCs w:val="24"/>
        </w:rPr>
        <w:t xml:space="preserve"> made by the LGA Peer Challenge team in their feedback report.</w:t>
      </w:r>
    </w:p>
    <w:p w14:paraId="6FE3B878" w14:textId="77777777" w:rsidR="00365ED7" w:rsidRPr="005569AA" w:rsidRDefault="00365ED7" w:rsidP="002A1CE0">
      <w:pPr>
        <w:pStyle w:val="NoSpacing"/>
        <w:rPr>
          <w:sz w:val="24"/>
          <w:szCs w:val="24"/>
        </w:rPr>
      </w:pPr>
    </w:p>
    <w:p w14:paraId="1B6C98FE" w14:textId="3035FB27" w:rsidR="002A1CE0" w:rsidRPr="005569AA" w:rsidRDefault="002A1CE0" w:rsidP="002A1CE0">
      <w:pPr>
        <w:pStyle w:val="NoSpacing"/>
        <w:rPr>
          <w:sz w:val="24"/>
          <w:szCs w:val="24"/>
        </w:rPr>
      </w:pPr>
    </w:p>
    <w:tbl>
      <w:tblPr>
        <w:tblStyle w:val="TableGrid"/>
        <w:tblW w:w="14312" w:type="dxa"/>
        <w:tblLook w:val="04A0" w:firstRow="1" w:lastRow="0" w:firstColumn="1" w:lastColumn="0" w:noHBand="0" w:noVBand="1"/>
      </w:tblPr>
      <w:tblGrid>
        <w:gridCol w:w="690"/>
        <w:gridCol w:w="3841"/>
        <w:gridCol w:w="5245"/>
        <w:gridCol w:w="2126"/>
        <w:gridCol w:w="2410"/>
      </w:tblGrid>
      <w:tr w:rsidR="00C2567D" w14:paraId="1B776CD4" w14:textId="1EEDDC2D" w:rsidTr="0034165B">
        <w:tc>
          <w:tcPr>
            <w:tcW w:w="690" w:type="dxa"/>
            <w:shd w:val="clear" w:color="auto" w:fill="D9D9D9" w:themeFill="background1" w:themeFillShade="D9"/>
          </w:tcPr>
          <w:p w14:paraId="003482D6" w14:textId="77777777" w:rsidR="00C2567D" w:rsidRPr="005569AA" w:rsidRDefault="00C2567D" w:rsidP="008023D5">
            <w:pPr>
              <w:pStyle w:val="NoSpacing"/>
              <w:rPr>
                <w:sz w:val="24"/>
                <w:szCs w:val="24"/>
              </w:rPr>
            </w:pPr>
          </w:p>
        </w:tc>
        <w:tc>
          <w:tcPr>
            <w:tcW w:w="3841" w:type="dxa"/>
            <w:shd w:val="clear" w:color="auto" w:fill="D9D9D9" w:themeFill="background1" w:themeFillShade="D9"/>
          </w:tcPr>
          <w:p w14:paraId="70C39C25" w14:textId="2AEA7919" w:rsidR="00C2567D" w:rsidRPr="005569AA" w:rsidRDefault="00C2567D" w:rsidP="008023D5">
            <w:pPr>
              <w:pStyle w:val="NoSpacing"/>
              <w:rPr>
                <w:b/>
                <w:bCs/>
                <w:sz w:val="24"/>
                <w:szCs w:val="24"/>
              </w:rPr>
            </w:pPr>
            <w:r w:rsidRPr="005569AA">
              <w:rPr>
                <w:b/>
                <w:bCs/>
                <w:sz w:val="24"/>
                <w:szCs w:val="24"/>
              </w:rPr>
              <w:t>Recommendation</w:t>
            </w:r>
          </w:p>
        </w:tc>
        <w:tc>
          <w:tcPr>
            <w:tcW w:w="5245" w:type="dxa"/>
            <w:shd w:val="clear" w:color="auto" w:fill="D9D9D9" w:themeFill="background1" w:themeFillShade="D9"/>
          </w:tcPr>
          <w:p w14:paraId="67AF9E1A" w14:textId="33CC9305" w:rsidR="00C2567D" w:rsidRPr="005569AA" w:rsidRDefault="00C2567D" w:rsidP="008023D5">
            <w:pPr>
              <w:pStyle w:val="NoSpacing"/>
              <w:rPr>
                <w:b/>
                <w:bCs/>
                <w:sz w:val="24"/>
                <w:szCs w:val="24"/>
              </w:rPr>
            </w:pPr>
            <w:r w:rsidRPr="005569AA">
              <w:rPr>
                <w:b/>
                <w:bCs/>
                <w:sz w:val="24"/>
                <w:szCs w:val="24"/>
              </w:rPr>
              <w:t xml:space="preserve">What are we going to do?  </w:t>
            </w:r>
          </w:p>
        </w:tc>
        <w:tc>
          <w:tcPr>
            <w:tcW w:w="2126" w:type="dxa"/>
            <w:shd w:val="clear" w:color="auto" w:fill="D9D9D9" w:themeFill="background1" w:themeFillShade="D9"/>
          </w:tcPr>
          <w:p w14:paraId="31F4E810" w14:textId="0E90E50B" w:rsidR="00C2567D" w:rsidRPr="005569AA" w:rsidRDefault="00C2567D" w:rsidP="008023D5">
            <w:pPr>
              <w:pStyle w:val="NoSpacing"/>
              <w:rPr>
                <w:b/>
                <w:bCs/>
                <w:sz w:val="24"/>
                <w:szCs w:val="24"/>
              </w:rPr>
            </w:pPr>
            <w:r w:rsidRPr="005569AA">
              <w:rPr>
                <w:b/>
                <w:bCs/>
                <w:sz w:val="24"/>
                <w:szCs w:val="24"/>
              </w:rPr>
              <w:t>Lead</w:t>
            </w:r>
          </w:p>
        </w:tc>
        <w:tc>
          <w:tcPr>
            <w:tcW w:w="2410" w:type="dxa"/>
            <w:shd w:val="clear" w:color="auto" w:fill="D9D9D9" w:themeFill="background1" w:themeFillShade="D9"/>
          </w:tcPr>
          <w:p w14:paraId="26247222" w14:textId="155EBBC4" w:rsidR="00C2567D" w:rsidRPr="005569AA" w:rsidRDefault="00C2567D" w:rsidP="008023D5">
            <w:pPr>
              <w:pStyle w:val="NoSpacing"/>
              <w:rPr>
                <w:b/>
                <w:bCs/>
                <w:sz w:val="24"/>
                <w:szCs w:val="24"/>
              </w:rPr>
            </w:pPr>
            <w:r w:rsidRPr="005569AA">
              <w:rPr>
                <w:b/>
                <w:bCs/>
                <w:sz w:val="24"/>
                <w:szCs w:val="24"/>
              </w:rPr>
              <w:t>Timescale</w:t>
            </w:r>
          </w:p>
        </w:tc>
      </w:tr>
      <w:tr w:rsidR="00C2567D" w14:paraId="6E239E1A" w14:textId="5F3B3646" w:rsidTr="0034165B">
        <w:tc>
          <w:tcPr>
            <w:tcW w:w="690" w:type="dxa"/>
          </w:tcPr>
          <w:p w14:paraId="0A3DFF5C" w14:textId="4CDC2863" w:rsidR="00C2567D" w:rsidRPr="00B110FE" w:rsidRDefault="00C2567D" w:rsidP="008023D5">
            <w:pPr>
              <w:pStyle w:val="NoSpacing"/>
              <w:rPr>
                <w:b/>
                <w:bCs/>
              </w:rPr>
            </w:pPr>
            <w:r w:rsidRPr="00B110FE">
              <w:rPr>
                <w:b/>
                <w:bCs/>
              </w:rPr>
              <w:t>1</w:t>
            </w:r>
          </w:p>
        </w:tc>
        <w:tc>
          <w:tcPr>
            <w:tcW w:w="3841" w:type="dxa"/>
          </w:tcPr>
          <w:p w14:paraId="50F261B7" w14:textId="7D9B7767" w:rsidR="00C2567D" w:rsidRPr="0082604B" w:rsidRDefault="00C2567D" w:rsidP="008023D5">
            <w:pPr>
              <w:pStyle w:val="NoSpacing"/>
              <w:rPr>
                <w:b/>
                <w:bCs/>
              </w:rPr>
            </w:pPr>
            <w:r w:rsidRPr="0082604B">
              <w:rPr>
                <w:b/>
                <w:bCs/>
              </w:rPr>
              <w:t>Corporate Plan</w:t>
            </w:r>
          </w:p>
          <w:p w14:paraId="4F96D1A3" w14:textId="0AE8BA2A" w:rsidR="00C2567D" w:rsidRDefault="00C2567D" w:rsidP="005569AA">
            <w:pPr>
              <w:pStyle w:val="NoSpacing"/>
            </w:pPr>
            <w:r>
              <w:t>Whilst the flagship actions are helpful in providing focus, the council should ensure that they do not distract from the business as usual. The council should take steps to embed the Corporate Plan across the council and establish alignment with other key policies and strategies.</w:t>
            </w:r>
          </w:p>
        </w:tc>
        <w:tc>
          <w:tcPr>
            <w:tcW w:w="5245" w:type="dxa"/>
          </w:tcPr>
          <w:p w14:paraId="48408151" w14:textId="4EBDC701" w:rsidR="00C2567D" w:rsidRDefault="00C2567D" w:rsidP="008023D5">
            <w:pPr>
              <w:pStyle w:val="NoSpacing"/>
            </w:pPr>
            <w:r>
              <w:t xml:space="preserve">The Corporate Plan is being developed over the autumn, with engagement from key political and officer stakeholders.  This will ensure that there is alignment between the new suite of flagship actions and ‘business as usual’ for the council.   </w:t>
            </w:r>
          </w:p>
          <w:p w14:paraId="403104AC" w14:textId="77777777" w:rsidR="00C2567D" w:rsidRDefault="00C2567D" w:rsidP="008023D5">
            <w:pPr>
              <w:pStyle w:val="NoSpacing"/>
            </w:pPr>
          </w:p>
          <w:p w14:paraId="61941E7B" w14:textId="77777777" w:rsidR="00C2567D" w:rsidRDefault="00C2567D" w:rsidP="008023D5">
            <w:pPr>
              <w:pStyle w:val="NoSpacing"/>
            </w:pPr>
            <w:r>
              <w:t>The Corporate Plan timelines will run in tandem with the drafting of the budget for 2024/25 and as such the flagship actions will be costed and budgeted for in the 2024/25 budget.</w:t>
            </w:r>
          </w:p>
          <w:p w14:paraId="1397752A" w14:textId="188FD968" w:rsidR="00C2567D" w:rsidRDefault="00C2567D" w:rsidP="008023D5">
            <w:pPr>
              <w:pStyle w:val="NoSpacing"/>
            </w:pPr>
          </w:p>
        </w:tc>
        <w:tc>
          <w:tcPr>
            <w:tcW w:w="2126" w:type="dxa"/>
          </w:tcPr>
          <w:p w14:paraId="11A21153" w14:textId="758D00C7" w:rsidR="00C2567D" w:rsidRDefault="00C2567D" w:rsidP="008023D5">
            <w:pPr>
              <w:pStyle w:val="NoSpacing"/>
            </w:pPr>
            <w:r>
              <w:t xml:space="preserve">Assistant Director of </w:t>
            </w:r>
            <w:r w:rsidR="009B6518">
              <w:t xml:space="preserve">Corporate </w:t>
            </w:r>
            <w:r>
              <w:t xml:space="preserve">Strategy </w:t>
            </w:r>
          </w:p>
          <w:p w14:paraId="4FF110F0" w14:textId="117F6011" w:rsidR="00C2567D" w:rsidRDefault="00C2567D" w:rsidP="008023D5">
            <w:pPr>
              <w:pStyle w:val="NoSpacing"/>
            </w:pPr>
          </w:p>
        </w:tc>
        <w:tc>
          <w:tcPr>
            <w:tcW w:w="2410" w:type="dxa"/>
          </w:tcPr>
          <w:p w14:paraId="7D9E16E8" w14:textId="2ECC25F4" w:rsidR="00C2567D" w:rsidRDefault="00C2567D" w:rsidP="008023D5">
            <w:pPr>
              <w:pStyle w:val="NoSpacing"/>
            </w:pPr>
            <w:r>
              <w:t>Corporate Plan and budget to be agreed at Cabinet, February 2024</w:t>
            </w:r>
          </w:p>
        </w:tc>
      </w:tr>
      <w:tr w:rsidR="00C2567D" w14:paraId="34134B56" w14:textId="34E1CFAC" w:rsidTr="0034165B">
        <w:tc>
          <w:tcPr>
            <w:tcW w:w="690" w:type="dxa"/>
          </w:tcPr>
          <w:p w14:paraId="710464CC" w14:textId="7418969B" w:rsidR="00C2567D" w:rsidRPr="00B110FE" w:rsidRDefault="00C2567D" w:rsidP="002A1CE0">
            <w:pPr>
              <w:pStyle w:val="NoSpacing"/>
              <w:rPr>
                <w:b/>
                <w:bCs/>
              </w:rPr>
            </w:pPr>
            <w:r w:rsidRPr="00B110FE">
              <w:rPr>
                <w:b/>
                <w:bCs/>
              </w:rPr>
              <w:t>2</w:t>
            </w:r>
          </w:p>
        </w:tc>
        <w:tc>
          <w:tcPr>
            <w:tcW w:w="3841" w:type="dxa"/>
          </w:tcPr>
          <w:p w14:paraId="63517E07" w14:textId="77777777" w:rsidR="00C2567D" w:rsidRPr="00BE02AC" w:rsidRDefault="00C2567D" w:rsidP="002A1CE0">
            <w:pPr>
              <w:pStyle w:val="NoSpacing"/>
              <w:rPr>
                <w:b/>
                <w:bCs/>
              </w:rPr>
            </w:pPr>
            <w:r w:rsidRPr="00BE02AC">
              <w:rPr>
                <w:b/>
                <w:bCs/>
              </w:rPr>
              <w:t xml:space="preserve">Improvement, </w:t>
            </w:r>
            <w:proofErr w:type="gramStart"/>
            <w:r w:rsidRPr="00BE02AC">
              <w:rPr>
                <w:b/>
                <w:bCs/>
              </w:rPr>
              <w:t>transformation</w:t>
            </w:r>
            <w:proofErr w:type="gramEnd"/>
            <w:r w:rsidRPr="00BE02AC">
              <w:rPr>
                <w:b/>
                <w:bCs/>
              </w:rPr>
              <w:t xml:space="preserve"> and capacity</w:t>
            </w:r>
          </w:p>
          <w:p w14:paraId="0E50C1DD" w14:textId="77777777" w:rsidR="00C2567D" w:rsidRDefault="00C2567D" w:rsidP="002A1CE0">
            <w:pPr>
              <w:pStyle w:val="NoSpacing"/>
            </w:pPr>
            <w:r>
              <w:t>There is a need for a defined strategic improvement programme with sequenced actions, supported by further capacity for transformation and change. A properly established and resourced Project Management Office (PMO) alone will not solve this (but would be a helpful start); capacity is required across the organisation. There is a need to urgently reprioritise programmes and allocate resource accordingly. This may involve moving resource around and the revision of milestones and targets. There is also a need to acknowledge not everything that needs doing can be done now so some phasing with clear communications and expectations is required.</w:t>
            </w:r>
          </w:p>
          <w:p w14:paraId="67754042" w14:textId="3F612EE4" w:rsidR="00061AF8" w:rsidRDefault="00061AF8" w:rsidP="002A1CE0">
            <w:pPr>
              <w:pStyle w:val="NoSpacing"/>
            </w:pPr>
          </w:p>
        </w:tc>
        <w:tc>
          <w:tcPr>
            <w:tcW w:w="5245" w:type="dxa"/>
          </w:tcPr>
          <w:p w14:paraId="66789C3F" w14:textId="7D1DBC25" w:rsidR="00C2567D" w:rsidRDefault="00C2567D" w:rsidP="732ECA48">
            <w:pPr>
              <w:pStyle w:val="NoSpacing"/>
            </w:pPr>
            <w:r>
              <w:t xml:space="preserve">The major projects and improvement programmes across the Council have been identified, </w:t>
            </w:r>
            <w:proofErr w:type="gramStart"/>
            <w:r>
              <w:t>mapped</w:t>
            </w:r>
            <w:proofErr w:type="gramEnd"/>
            <w:r>
              <w:t xml:space="preserve"> and prioritised. These are monitored at the Corporate Leadership Team (CLT) Improvement Board with updates from the Head of PMO </w:t>
            </w:r>
            <w:proofErr w:type="gramStart"/>
            <w:r>
              <w:t>on a monthly basis</w:t>
            </w:r>
            <w:proofErr w:type="gramEnd"/>
            <w:r>
              <w:t>.</w:t>
            </w:r>
          </w:p>
          <w:p w14:paraId="13360A47" w14:textId="4C967686" w:rsidR="00C2567D" w:rsidRDefault="00C2567D" w:rsidP="732ECA48">
            <w:pPr>
              <w:pStyle w:val="NoSpacing"/>
            </w:pPr>
          </w:p>
          <w:p w14:paraId="55B3E3B8" w14:textId="18FBA2C7" w:rsidR="00C2567D" w:rsidRDefault="00C2567D" w:rsidP="732ECA48">
            <w:pPr>
              <w:pStyle w:val="NoSpacing"/>
            </w:pPr>
            <w:r>
              <w:t xml:space="preserve">PMO will be developing a Project Management framework and Centre of Excellence / Community of Practice. This will clearly define best practice for those working with projects and provide sufficient support to achieve successful outcomes. </w:t>
            </w:r>
          </w:p>
          <w:p w14:paraId="5893A661" w14:textId="14B95C00" w:rsidR="00C2567D" w:rsidRDefault="00C2567D" w:rsidP="732ECA48">
            <w:pPr>
              <w:pStyle w:val="NoSpacing"/>
            </w:pPr>
          </w:p>
          <w:p w14:paraId="0E510EC5" w14:textId="23FF27FF" w:rsidR="00C2567D" w:rsidRDefault="00C2567D" w:rsidP="732ECA48">
            <w:pPr>
              <w:pStyle w:val="NoSpacing"/>
            </w:pPr>
            <w:r>
              <w:t>Project Management framework will account for processes for the whole project lifecycle, from early idea to closure, including gateways.</w:t>
            </w:r>
          </w:p>
          <w:p w14:paraId="01EAC9E1" w14:textId="77777777" w:rsidR="00C2567D" w:rsidRDefault="00C2567D" w:rsidP="002A1CE0">
            <w:pPr>
              <w:pStyle w:val="NoSpacing"/>
            </w:pPr>
          </w:p>
          <w:p w14:paraId="31EC3D0B" w14:textId="77777777" w:rsidR="00C2567D" w:rsidRDefault="00C2567D" w:rsidP="00740EC3">
            <w:pPr>
              <w:pStyle w:val="NoSpacing"/>
            </w:pPr>
            <w:r>
              <w:t>New improvement projects and transformation programmes will be categorised through the PMO and signed off at CLT.</w:t>
            </w:r>
          </w:p>
          <w:p w14:paraId="7A6B218D" w14:textId="0F75B6A3" w:rsidR="00C2567D" w:rsidRDefault="00C2567D" w:rsidP="00740EC3">
            <w:pPr>
              <w:pStyle w:val="NoSpacing"/>
            </w:pPr>
          </w:p>
        </w:tc>
        <w:tc>
          <w:tcPr>
            <w:tcW w:w="2126" w:type="dxa"/>
          </w:tcPr>
          <w:p w14:paraId="416ADB93" w14:textId="34323BEB" w:rsidR="00C2567D" w:rsidRDefault="00C2567D" w:rsidP="32AE8E2D">
            <w:pPr>
              <w:pStyle w:val="NoSpacing"/>
            </w:pPr>
            <w:r>
              <w:t>Assistant Director of Digital, Data &amp; the Customer Experience</w:t>
            </w:r>
          </w:p>
          <w:p w14:paraId="195A30EA" w14:textId="26FB6E0A" w:rsidR="00C2567D" w:rsidRDefault="00C2567D" w:rsidP="002A1CE0">
            <w:pPr>
              <w:pStyle w:val="NoSpacing"/>
            </w:pPr>
          </w:p>
        </w:tc>
        <w:tc>
          <w:tcPr>
            <w:tcW w:w="2410" w:type="dxa"/>
          </w:tcPr>
          <w:p w14:paraId="55E8CA08" w14:textId="655F9881" w:rsidR="00C2567D" w:rsidRDefault="00C2567D" w:rsidP="002A1CE0">
            <w:pPr>
              <w:pStyle w:val="NoSpacing"/>
            </w:pPr>
            <w:r>
              <w:t xml:space="preserve">Ongoing </w:t>
            </w:r>
          </w:p>
        </w:tc>
      </w:tr>
      <w:tr w:rsidR="00C2567D" w14:paraId="17CC5245" w14:textId="5E9B78DC" w:rsidTr="0034165B">
        <w:tc>
          <w:tcPr>
            <w:tcW w:w="690" w:type="dxa"/>
          </w:tcPr>
          <w:p w14:paraId="046A04A5" w14:textId="6E56A4BA" w:rsidR="00C2567D" w:rsidRPr="00B110FE" w:rsidRDefault="00C2567D" w:rsidP="002A1CE0">
            <w:pPr>
              <w:pStyle w:val="NoSpacing"/>
              <w:rPr>
                <w:b/>
                <w:bCs/>
              </w:rPr>
            </w:pPr>
            <w:r w:rsidRPr="00B110FE">
              <w:rPr>
                <w:b/>
                <w:bCs/>
              </w:rPr>
              <w:t>3</w:t>
            </w:r>
          </w:p>
        </w:tc>
        <w:tc>
          <w:tcPr>
            <w:tcW w:w="3841" w:type="dxa"/>
          </w:tcPr>
          <w:p w14:paraId="4D99B37A" w14:textId="77777777" w:rsidR="00C2567D" w:rsidRPr="00BE02AC" w:rsidRDefault="00C2567D" w:rsidP="00BE02AC">
            <w:pPr>
              <w:pStyle w:val="NoSpacing"/>
              <w:rPr>
                <w:b/>
                <w:bCs/>
              </w:rPr>
            </w:pPr>
            <w:r w:rsidRPr="00BE02AC">
              <w:rPr>
                <w:b/>
                <w:bCs/>
              </w:rPr>
              <w:t>Organisation</w:t>
            </w:r>
          </w:p>
          <w:p w14:paraId="240411A4" w14:textId="77777777" w:rsidR="00C2567D" w:rsidRDefault="00C2567D" w:rsidP="00BE02AC">
            <w:pPr>
              <w:pStyle w:val="NoSpacing"/>
            </w:pPr>
            <w:r>
              <w:t xml:space="preserve">A determination is needed as to whether to agree and require (or not) a standard operating model for the council and all service areas. If this is agreed clarity should be provided with clear design principles for either devolved or centralised services, and the overall model of service delivery. At present, it is unclear what the future operating model preference is for the council. There is currently a mixture of devolved and centralised corporate </w:t>
            </w:r>
            <w:proofErr w:type="gramStart"/>
            <w:r w:rsidR="00E057BE">
              <w:t>s</w:t>
            </w:r>
            <w:r>
              <w:t>ervices</w:t>
            </w:r>
            <w:proofErr w:type="gramEnd"/>
            <w:r>
              <w:t xml:space="preserve"> and they vary across departments.</w:t>
            </w:r>
          </w:p>
          <w:p w14:paraId="633E0346" w14:textId="4B29F761" w:rsidR="00061AF8" w:rsidRDefault="00061AF8" w:rsidP="00BE02AC">
            <w:pPr>
              <w:pStyle w:val="NoSpacing"/>
            </w:pPr>
          </w:p>
        </w:tc>
        <w:tc>
          <w:tcPr>
            <w:tcW w:w="5245" w:type="dxa"/>
          </w:tcPr>
          <w:p w14:paraId="7F8B7565" w14:textId="64C4F9B5" w:rsidR="00C2567D" w:rsidRDefault="00C2567D" w:rsidP="005B309C">
            <w:pPr>
              <w:pStyle w:val="NoSpacing"/>
            </w:pPr>
            <w:r>
              <w:t>CLT has established an Organisational Design Authority to oversee the organisational redesign and restructure.  This is ongoing and, in the future, this will be embedded in HR processes.</w:t>
            </w:r>
          </w:p>
          <w:p w14:paraId="39186D79" w14:textId="77777777" w:rsidR="00C2567D" w:rsidRDefault="00C2567D" w:rsidP="002A1CE0">
            <w:pPr>
              <w:pStyle w:val="NoSpacing"/>
            </w:pPr>
          </w:p>
          <w:p w14:paraId="09073A1A" w14:textId="6A7FEB6D" w:rsidR="00C2567D" w:rsidRDefault="00C2567D" w:rsidP="002A1CE0">
            <w:pPr>
              <w:pStyle w:val="NoSpacing"/>
            </w:pPr>
          </w:p>
        </w:tc>
        <w:tc>
          <w:tcPr>
            <w:tcW w:w="2126" w:type="dxa"/>
          </w:tcPr>
          <w:p w14:paraId="3140A37A" w14:textId="01A744CE" w:rsidR="00C2567D" w:rsidRDefault="00C2567D" w:rsidP="002A1CE0">
            <w:pPr>
              <w:pStyle w:val="NoSpacing"/>
            </w:pPr>
            <w:r>
              <w:t>Director of HR &amp; OD</w:t>
            </w:r>
          </w:p>
        </w:tc>
        <w:tc>
          <w:tcPr>
            <w:tcW w:w="2410" w:type="dxa"/>
          </w:tcPr>
          <w:p w14:paraId="0D78759A" w14:textId="21C13E93" w:rsidR="00C2567D" w:rsidRDefault="00C2567D" w:rsidP="002A1CE0">
            <w:pPr>
              <w:pStyle w:val="NoSpacing"/>
            </w:pPr>
            <w:r>
              <w:t xml:space="preserve">Ongoing </w:t>
            </w:r>
          </w:p>
        </w:tc>
      </w:tr>
      <w:tr w:rsidR="00C2567D" w14:paraId="75229091" w14:textId="61445B14" w:rsidTr="0034165B">
        <w:tc>
          <w:tcPr>
            <w:tcW w:w="690" w:type="dxa"/>
          </w:tcPr>
          <w:p w14:paraId="3F8D269A" w14:textId="0CFA6D7B" w:rsidR="00C2567D" w:rsidRPr="00B110FE" w:rsidRDefault="00C2567D" w:rsidP="002A1CE0">
            <w:pPr>
              <w:pStyle w:val="NoSpacing"/>
              <w:rPr>
                <w:b/>
                <w:bCs/>
              </w:rPr>
            </w:pPr>
            <w:r w:rsidRPr="00B110FE">
              <w:rPr>
                <w:b/>
                <w:bCs/>
              </w:rPr>
              <w:t>4</w:t>
            </w:r>
          </w:p>
        </w:tc>
        <w:tc>
          <w:tcPr>
            <w:tcW w:w="3841" w:type="dxa"/>
          </w:tcPr>
          <w:p w14:paraId="254AE639" w14:textId="77777777" w:rsidR="00C2567D" w:rsidRPr="00BE02AC" w:rsidRDefault="00C2567D" w:rsidP="002A1CE0">
            <w:pPr>
              <w:pStyle w:val="NoSpacing"/>
              <w:rPr>
                <w:b/>
                <w:bCs/>
              </w:rPr>
            </w:pPr>
            <w:r w:rsidRPr="00BE02AC">
              <w:rPr>
                <w:b/>
                <w:bCs/>
              </w:rPr>
              <w:t xml:space="preserve">Financial planning and management </w:t>
            </w:r>
          </w:p>
          <w:p w14:paraId="147CD778" w14:textId="7420B19E" w:rsidR="00C2567D" w:rsidRDefault="00C2567D" w:rsidP="002A1CE0">
            <w:pPr>
              <w:pStyle w:val="NoSpacing"/>
            </w:pPr>
            <w:r>
              <w:t>Continue to develop alignment between the Corporate Plan, MTFS and other financial strategies</w:t>
            </w:r>
          </w:p>
        </w:tc>
        <w:tc>
          <w:tcPr>
            <w:tcW w:w="5245" w:type="dxa"/>
          </w:tcPr>
          <w:p w14:paraId="28DD6856" w14:textId="07570C57" w:rsidR="00C2567D" w:rsidRDefault="00C2567D" w:rsidP="002A1CE0">
            <w:pPr>
              <w:pStyle w:val="NoSpacing"/>
            </w:pPr>
            <w:r>
              <w:br/>
            </w:r>
          </w:p>
          <w:p w14:paraId="65EE8CA4" w14:textId="18CB5D0C" w:rsidR="00C2567D" w:rsidRPr="001B70B7" w:rsidRDefault="00C2567D" w:rsidP="006938D0">
            <w:pPr>
              <w:pStyle w:val="NoSpacing"/>
              <w:rPr>
                <w:rFonts w:eastAsia="Calibri" w:cstheme="minorHAnsi"/>
              </w:rPr>
            </w:pPr>
            <w:r w:rsidRPr="001B70B7">
              <w:rPr>
                <w:rFonts w:eastAsia="Times New Roman" w:cstheme="minorHAnsi"/>
              </w:rPr>
              <w:t>The Council’s Budget and MTFS is aligned to the Corporate Plan and other strategies.</w:t>
            </w:r>
          </w:p>
          <w:p w14:paraId="455FB304" w14:textId="5668F74C" w:rsidR="00C2567D" w:rsidRDefault="00C2567D" w:rsidP="002A1CE0">
            <w:pPr>
              <w:pStyle w:val="NoSpacing"/>
            </w:pPr>
          </w:p>
        </w:tc>
        <w:tc>
          <w:tcPr>
            <w:tcW w:w="2126" w:type="dxa"/>
          </w:tcPr>
          <w:p w14:paraId="75DB3238" w14:textId="4E52464C" w:rsidR="00C2567D" w:rsidRDefault="00C2567D" w:rsidP="002A1CE0">
            <w:pPr>
              <w:pStyle w:val="NoSpacing"/>
            </w:pPr>
            <w:r>
              <w:t>S151 Officer</w:t>
            </w:r>
          </w:p>
        </w:tc>
        <w:tc>
          <w:tcPr>
            <w:tcW w:w="2410" w:type="dxa"/>
          </w:tcPr>
          <w:p w14:paraId="1666E8B5" w14:textId="7D5A5250" w:rsidR="00C2567D" w:rsidRDefault="00C2567D" w:rsidP="002A1CE0">
            <w:pPr>
              <w:pStyle w:val="NoSpacing"/>
            </w:pPr>
            <w:r>
              <w:t xml:space="preserve">Ongoing </w:t>
            </w:r>
          </w:p>
        </w:tc>
      </w:tr>
      <w:tr w:rsidR="00C2567D" w14:paraId="5187CA07" w14:textId="04FA2473" w:rsidTr="0034165B">
        <w:tc>
          <w:tcPr>
            <w:tcW w:w="690" w:type="dxa"/>
          </w:tcPr>
          <w:p w14:paraId="40CE2520" w14:textId="7E46CF89" w:rsidR="00C2567D" w:rsidRPr="00B110FE" w:rsidRDefault="00C2567D" w:rsidP="002A1CE0">
            <w:pPr>
              <w:pStyle w:val="NoSpacing"/>
              <w:rPr>
                <w:b/>
                <w:bCs/>
              </w:rPr>
            </w:pPr>
            <w:r w:rsidRPr="00B110FE">
              <w:rPr>
                <w:b/>
                <w:bCs/>
              </w:rPr>
              <w:t>5</w:t>
            </w:r>
          </w:p>
        </w:tc>
        <w:tc>
          <w:tcPr>
            <w:tcW w:w="3841" w:type="dxa"/>
          </w:tcPr>
          <w:p w14:paraId="1390687C" w14:textId="77777777" w:rsidR="00C2567D" w:rsidRPr="00BE02AC" w:rsidRDefault="00C2567D" w:rsidP="002A1CE0">
            <w:pPr>
              <w:pStyle w:val="NoSpacing"/>
              <w:rPr>
                <w:b/>
                <w:bCs/>
              </w:rPr>
            </w:pPr>
            <w:r w:rsidRPr="00BE02AC">
              <w:rPr>
                <w:b/>
                <w:bCs/>
              </w:rPr>
              <w:t>Savings and MTFS</w:t>
            </w:r>
          </w:p>
          <w:p w14:paraId="7A8844B9" w14:textId="77777777" w:rsidR="00C2567D" w:rsidRDefault="00C2567D" w:rsidP="002A1CE0">
            <w:pPr>
              <w:pStyle w:val="NoSpacing"/>
            </w:pPr>
            <w:r>
              <w:t>Ensure a relentless tracking and reporting system is in place with clear ownership of budgets with a focus on delivering the agreed savings proposals and avoiding double counts that might arise from changes to the operating model.</w:t>
            </w:r>
          </w:p>
          <w:p w14:paraId="4A10FF30" w14:textId="4B258C68" w:rsidR="00061AF8" w:rsidRDefault="00061AF8" w:rsidP="002A1CE0">
            <w:pPr>
              <w:pStyle w:val="NoSpacing"/>
            </w:pPr>
          </w:p>
        </w:tc>
        <w:tc>
          <w:tcPr>
            <w:tcW w:w="5245" w:type="dxa"/>
          </w:tcPr>
          <w:p w14:paraId="68478AD4" w14:textId="56D4B9B9" w:rsidR="00C2567D" w:rsidRPr="00791E6B" w:rsidRDefault="00C2567D" w:rsidP="002A1CE0">
            <w:pPr>
              <w:pStyle w:val="NoSpacing"/>
            </w:pPr>
            <w:r>
              <w:br/>
            </w:r>
          </w:p>
          <w:p w14:paraId="4EBF84DA" w14:textId="0D63793B" w:rsidR="00C2567D" w:rsidRDefault="00C2567D" w:rsidP="006938D0">
            <w:pPr>
              <w:pStyle w:val="NoSpacing"/>
              <w:rPr>
                <w:rFonts w:ascii="Calibri" w:eastAsia="Calibri" w:hAnsi="Calibri" w:cs="Calibri"/>
              </w:rPr>
            </w:pPr>
            <w:r w:rsidRPr="006938D0">
              <w:t xml:space="preserve">This tracking has taken place </w:t>
            </w:r>
            <w:proofErr w:type="gramStart"/>
            <w:r w:rsidRPr="006938D0">
              <w:t>historically, and</w:t>
            </w:r>
            <w:proofErr w:type="gramEnd"/>
            <w:r w:rsidRPr="006938D0">
              <w:t xml:space="preserve"> is in place for 2023/24 to 2025/26 to track the delivery of MTFS savings. The tracker is updated </w:t>
            </w:r>
            <w:proofErr w:type="gramStart"/>
            <w:r w:rsidRPr="006938D0">
              <w:t>on a monthly basis</w:t>
            </w:r>
            <w:proofErr w:type="gramEnd"/>
            <w:r w:rsidRPr="006938D0">
              <w:t xml:space="preserve"> and reported for cabinet on a quarterly basis along with the revenue monitoring.</w:t>
            </w:r>
          </w:p>
        </w:tc>
        <w:tc>
          <w:tcPr>
            <w:tcW w:w="2126" w:type="dxa"/>
          </w:tcPr>
          <w:p w14:paraId="083AC442" w14:textId="6FE21153" w:rsidR="00C2567D" w:rsidRDefault="00C2567D" w:rsidP="002A1CE0">
            <w:pPr>
              <w:pStyle w:val="NoSpacing"/>
            </w:pPr>
            <w:r>
              <w:t>S151 Officer</w:t>
            </w:r>
          </w:p>
        </w:tc>
        <w:tc>
          <w:tcPr>
            <w:tcW w:w="2410" w:type="dxa"/>
          </w:tcPr>
          <w:p w14:paraId="0B550834" w14:textId="7106EF99" w:rsidR="00C2567D" w:rsidRDefault="00C2567D" w:rsidP="002A1CE0">
            <w:pPr>
              <w:pStyle w:val="NoSpacing"/>
            </w:pPr>
            <w:r>
              <w:t xml:space="preserve">Ongoing </w:t>
            </w:r>
          </w:p>
        </w:tc>
      </w:tr>
      <w:tr w:rsidR="00C2567D" w14:paraId="6EC0680B" w14:textId="58285DC0" w:rsidTr="0034165B">
        <w:tc>
          <w:tcPr>
            <w:tcW w:w="690" w:type="dxa"/>
          </w:tcPr>
          <w:p w14:paraId="3A51C603" w14:textId="7D94C263" w:rsidR="00C2567D" w:rsidRPr="00B110FE" w:rsidRDefault="00C2567D" w:rsidP="002A1CE0">
            <w:pPr>
              <w:pStyle w:val="NoSpacing"/>
              <w:rPr>
                <w:b/>
                <w:bCs/>
              </w:rPr>
            </w:pPr>
            <w:r w:rsidRPr="00B110FE">
              <w:rPr>
                <w:b/>
                <w:bCs/>
              </w:rPr>
              <w:t>6</w:t>
            </w:r>
          </w:p>
        </w:tc>
        <w:tc>
          <w:tcPr>
            <w:tcW w:w="3841" w:type="dxa"/>
          </w:tcPr>
          <w:p w14:paraId="39875B6D" w14:textId="77777777" w:rsidR="00C2567D" w:rsidRPr="00BE02AC" w:rsidRDefault="00C2567D" w:rsidP="002A1CE0">
            <w:pPr>
              <w:pStyle w:val="NoSpacing"/>
              <w:rPr>
                <w:b/>
                <w:bCs/>
              </w:rPr>
            </w:pPr>
            <w:r w:rsidRPr="00BE02AC">
              <w:rPr>
                <w:b/>
                <w:bCs/>
              </w:rPr>
              <w:t xml:space="preserve">Internal systems </w:t>
            </w:r>
          </w:p>
          <w:p w14:paraId="615E5545" w14:textId="6A181916" w:rsidR="00C2567D" w:rsidRDefault="00C2567D" w:rsidP="002A1CE0">
            <w:pPr>
              <w:pStyle w:val="NoSpacing"/>
            </w:pPr>
            <w:r>
              <w:t>Identify, agree and implement a range of options to urgently resolve key system issues (</w:t>
            </w:r>
            <w:proofErr w:type="gramStart"/>
            <w:r>
              <w:t>e.g.</w:t>
            </w:r>
            <w:proofErr w:type="gramEnd"/>
            <w:r>
              <w:t xml:space="preserve"> Microsoft Dynamic 365 and planning). Consider what alternative options might be available to help deliver the necessary urgent improvements</w:t>
            </w:r>
          </w:p>
        </w:tc>
        <w:tc>
          <w:tcPr>
            <w:tcW w:w="5245" w:type="dxa"/>
          </w:tcPr>
          <w:p w14:paraId="692E7C0A" w14:textId="4E28C677" w:rsidR="00C2567D" w:rsidRDefault="00C2567D" w:rsidP="732ECA48">
            <w:pPr>
              <w:pStyle w:val="NoSpacing"/>
            </w:pPr>
            <w:r>
              <w:t xml:space="preserve">Dynamics 365: </w:t>
            </w:r>
          </w:p>
          <w:p w14:paraId="730F6399" w14:textId="2B942C25" w:rsidR="00C2567D" w:rsidRDefault="00C2567D" w:rsidP="002A1CE0">
            <w:pPr>
              <w:pStyle w:val="NoSpacing"/>
            </w:pPr>
            <w:r>
              <w:t>Most elements of Phase 1 project have been completed successfully:</w:t>
            </w:r>
          </w:p>
          <w:p w14:paraId="40A5E1C0" w14:textId="5DA545E7" w:rsidR="00C2567D" w:rsidRDefault="00C2567D" w:rsidP="002A1CE0">
            <w:pPr>
              <w:pStyle w:val="NoSpacing"/>
            </w:pPr>
            <w:r>
              <w:t>- Discovery workshops for development of product roadmap completed and detailed recommendations including costs produced</w:t>
            </w:r>
          </w:p>
          <w:p w14:paraId="4A097118" w14:textId="20FB4716" w:rsidR="00C2567D" w:rsidRDefault="00C2567D" w:rsidP="002A1CE0">
            <w:pPr>
              <w:pStyle w:val="NoSpacing"/>
            </w:pPr>
            <w:r>
              <w:t xml:space="preserve">- New support contract awarded to HCL and successfully transition from PwC in July 2023  </w:t>
            </w:r>
          </w:p>
          <w:p w14:paraId="3281DD94" w14:textId="7463C79C" w:rsidR="00C2567D" w:rsidRDefault="00C2567D" w:rsidP="002A1CE0">
            <w:pPr>
              <w:pStyle w:val="NoSpacing"/>
            </w:pPr>
            <w:r>
              <w:t>- My4Cast successfully used for Period 3 reporting in Resources and Place Directorates, rolling out to Peoples Directorate in September 2023.</w:t>
            </w:r>
          </w:p>
          <w:p w14:paraId="608AC141" w14:textId="525B2C23" w:rsidR="00C2567D" w:rsidRDefault="00C2567D" w:rsidP="002A1CE0">
            <w:pPr>
              <w:pStyle w:val="NoSpacing"/>
            </w:pPr>
            <w:r>
              <w:t>- New client-side team manager appointed with interim resources in place, new structure design and costings completed and will be presented to ODA at end of September 2023</w:t>
            </w:r>
          </w:p>
          <w:p w14:paraId="46F1A202" w14:textId="644603D4" w:rsidR="00C2567D" w:rsidRDefault="00C2567D" w:rsidP="002A1CE0">
            <w:pPr>
              <w:pStyle w:val="NoSpacing"/>
            </w:pPr>
            <w:r>
              <w:t xml:space="preserve"> </w:t>
            </w:r>
          </w:p>
          <w:p w14:paraId="626679F6" w14:textId="0EB91E86" w:rsidR="00C2567D" w:rsidRPr="00C2567D" w:rsidRDefault="00C2567D" w:rsidP="006938D0">
            <w:pPr>
              <w:pStyle w:val="NoSpacing"/>
              <w:rPr>
                <w:rFonts w:eastAsia="Calibri" w:cstheme="minorHAnsi"/>
              </w:rPr>
            </w:pPr>
            <w:r w:rsidRPr="00C2567D">
              <w:rPr>
                <w:rFonts w:eastAsia="Times New Roman" w:cstheme="minorHAnsi"/>
                <w:color w:val="000000" w:themeColor="text1"/>
              </w:rPr>
              <w:t>Meeting with members in mid-September confirm</w:t>
            </w:r>
            <w:r>
              <w:rPr>
                <w:rFonts w:eastAsia="Times New Roman" w:cstheme="minorHAnsi"/>
                <w:color w:val="000000" w:themeColor="text1"/>
              </w:rPr>
              <w:t>ed</w:t>
            </w:r>
            <w:r w:rsidRPr="00C2567D">
              <w:rPr>
                <w:rFonts w:eastAsia="Times New Roman" w:cstheme="minorHAnsi"/>
                <w:color w:val="000000" w:themeColor="text1"/>
              </w:rPr>
              <w:t xml:space="preserve"> high level Phase 2 scope and costings, to be reflected in future updates</w:t>
            </w:r>
            <w:r>
              <w:rPr>
                <w:rFonts w:eastAsia="Times New Roman" w:cstheme="minorHAnsi"/>
                <w:color w:val="000000" w:themeColor="text1"/>
              </w:rPr>
              <w:t>.</w:t>
            </w:r>
          </w:p>
          <w:p w14:paraId="6C804967" w14:textId="1B2A06F9" w:rsidR="00C2567D" w:rsidRDefault="00C2567D" w:rsidP="00D07776">
            <w:pPr>
              <w:pStyle w:val="NoSpacing"/>
            </w:pPr>
          </w:p>
        </w:tc>
        <w:tc>
          <w:tcPr>
            <w:tcW w:w="2126" w:type="dxa"/>
          </w:tcPr>
          <w:p w14:paraId="5101C164" w14:textId="5260F412" w:rsidR="00C2567D" w:rsidRDefault="00C2567D" w:rsidP="002A1CE0">
            <w:pPr>
              <w:pStyle w:val="NoSpacing"/>
            </w:pPr>
            <w:r>
              <w:t>S151 Officer / Director of ICT</w:t>
            </w:r>
          </w:p>
          <w:p w14:paraId="5D9D1877" w14:textId="4A5F9C73" w:rsidR="00C2567D" w:rsidRPr="00F46AAD" w:rsidRDefault="00C2567D" w:rsidP="00F46AAD"/>
        </w:tc>
        <w:tc>
          <w:tcPr>
            <w:tcW w:w="2410" w:type="dxa"/>
          </w:tcPr>
          <w:p w14:paraId="1FA164B2" w14:textId="77777777" w:rsidR="00C2567D" w:rsidRDefault="00C2567D" w:rsidP="002A1CE0">
            <w:pPr>
              <w:pStyle w:val="NoSpacing"/>
            </w:pPr>
          </w:p>
        </w:tc>
      </w:tr>
      <w:tr w:rsidR="00C2567D" w14:paraId="01E64EA9" w14:textId="0DA0C141" w:rsidTr="0034165B">
        <w:tc>
          <w:tcPr>
            <w:tcW w:w="690" w:type="dxa"/>
          </w:tcPr>
          <w:p w14:paraId="48BE7004" w14:textId="4EF2477A" w:rsidR="00C2567D" w:rsidRPr="00B110FE" w:rsidRDefault="00C2567D" w:rsidP="002A1CE0">
            <w:pPr>
              <w:pStyle w:val="NoSpacing"/>
              <w:rPr>
                <w:b/>
                <w:bCs/>
              </w:rPr>
            </w:pPr>
            <w:r w:rsidRPr="00B110FE">
              <w:rPr>
                <w:b/>
                <w:bCs/>
              </w:rPr>
              <w:t>7</w:t>
            </w:r>
          </w:p>
        </w:tc>
        <w:tc>
          <w:tcPr>
            <w:tcW w:w="3841" w:type="dxa"/>
          </w:tcPr>
          <w:p w14:paraId="2ACB8712" w14:textId="77777777" w:rsidR="00C2567D" w:rsidRPr="00BE02AC" w:rsidRDefault="00C2567D" w:rsidP="002A1CE0">
            <w:pPr>
              <w:pStyle w:val="NoSpacing"/>
              <w:rPr>
                <w:b/>
                <w:bCs/>
              </w:rPr>
            </w:pPr>
            <w:r w:rsidRPr="00BE02AC">
              <w:rPr>
                <w:b/>
                <w:bCs/>
              </w:rPr>
              <w:t>Performance</w:t>
            </w:r>
          </w:p>
          <w:p w14:paraId="66644D87" w14:textId="5D098731" w:rsidR="00C2567D" w:rsidRDefault="00C2567D" w:rsidP="002A1CE0">
            <w:pPr>
              <w:pStyle w:val="NoSpacing"/>
            </w:pPr>
            <w:r>
              <w:t xml:space="preserve">Introduce a consistent council-wide performance framework which provides organisational assurance. Ensure this performance monitoring is used to inform service delivery and decision making. Develop a suite of performance information and data packs which go through formal council governance arrangements </w:t>
            </w:r>
            <w:proofErr w:type="gramStart"/>
            <w:r>
              <w:t>e.g.</w:t>
            </w:r>
            <w:proofErr w:type="gramEnd"/>
            <w:r>
              <w:t xml:space="preserve"> reports to Cabinet and Overview and Scrutiny.</w:t>
            </w:r>
          </w:p>
        </w:tc>
        <w:tc>
          <w:tcPr>
            <w:tcW w:w="5245" w:type="dxa"/>
          </w:tcPr>
          <w:p w14:paraId="294252B8" w14:textId="62E2CF7C" w:rsidR="00C2567D" w:rsidRDefault="00C2567D" w:rsidP="00FA21F0">
            <w:pPr>
              <w:pStyle w:val="NoSpacing"/>
            </w:pPr>
            <w:r>
              <w:t>Directorate scorecards created with Portfolio Holders and agreed at Cabinet.  Leader of the Council and Managing Director chair quarterly Performance Boards for each directorate.  Performance Board reports presented at Cabinet on a quarterly basis.</w:t>
            </w:r>
          </w:p>
          <w:p w14:paraId="286541A4" w14:textId="3E324E35" w:rsidR="00C2567D" w:rsidRDefault="00C2567D" w:rsidP="00FA21F0">
            <w:pPr>
              <w:pStyle w:val="NoSpacing"/>
            </w:pPr>
          </w:p>
          <w:p w14:paraId="47503E80" w14:textId="2B6F685D" w:rsidR="00C2567D" w:rsidRDefault="00C2567D" w:rsidP="00FA21F0">
            <w:pPr>
              <w:pStyle w:val="NoSpacing"/>
            </w:pPr>
            <w:r>
              <w:t xml:space="preserve">Corporate Plan </w:t>
            </w:r>
            <w:r w:rsidR="0051117E">
              <w:t xml:space="preserve">has been </w:t>
            </w:r>
            <w:r>
              <w:t>agreed by Cabinet.</w:t>
            </w:r>
          </w:p>
          <w:p w14:paraId="71A2871C" w14:textId="13C5590A" w:rsidR="00C2567D" w:rsidRDefault="00C2567D" w:rsidP="00FA21F0">
            <w:pPr>
              <w:pStyle w:val="NoSpacing"/>
            </w:pPr>
          </w:p>
          <w:p w14:paraId="1DF14B55" w14:textId="56C93354" w:rsidR="00C2567D" w:rsidRDefault="00C2567D" w:rsidP="00FA21F0">
            <w:pPr>
              <w:pStyle w:val="NoSpacing"/>
            </w:pPr>
            <w:r>
              <w:t xml:space="preserve">CLT meets monthly as a Performance Board to consider corporate performance.  </w:t>
            </w:r>
          </w:p>
          <w:p w14:paraId="50174EB8" w14:textId="32B341DD" w:rsidR="00C2567D" w:rsidRDefault="00C2567D" w:rsidP="32AE8E2D">
            <w:pPr>
              <w:pStyle w:val="NoSpacing"/>
            </w:pPr>
          </w:p>
          <w:p w14:paraId="3241E0F1" w14:textId="56C034E9" w:rsidR="00C2567D" w:rsidRDefault="00C2567D" w:rsidP="32AE8E2D">
            <w:pPr>
              <w:pStyle w:val="NoSpacing"/>
            </w:pPr>
            <w:r>
              <w:t xml:space="preserve">Outcomes of OFLOG consultation will share key performance indicators. </w:t>
            </w:r>
          </w:p>
          <w:p w14:paraId="7F818477" w14:textId="145619C4" w:rsidR="00C2567D" w:rsidRDefault="00C2567D" w:rsidP="32AE8E2D">
            <w:pPr>
              <w:pStyle w:val="NoSpacing"/>
            </w:pPr>
          </w:p>
          <w:p w14:paraId="62497FA5" w14:textId="5D0E0B53" w:rsidR="00C2567D" w:rsidRDefault="00C2567D" w:rsidP="732ECA48">
            <w:pPr>
              <w:pStyle w:val="NoSpacing"/>
            </w:pPr>
            <w:r>
              <w:t>With new performance framework embedded into the organisation, processes for performance monitoring by scrutiny function are being re-introduced.  This includes quarterly performance briefings for the Chair and Vice-Chair of Performance &amp; Finance Scrutiny Committee (P&amp;F) using corporate scorecard, developing a watchlist of areas where performance is raising concerns, escalating to Scrutiny Leadership Group (informal) and P&amp;F (formal committee consideration) where trends persist.</w:t>
            </w:r>
          </w:p>
          <w:p w14:paraId="42EBD222" w14:textId="6959DA3B" w:rsidR="00C2567D" w:rsidRDefault="00C2567D" w:rsidP="00FA21F0">
            <w:pPr>
              <w:pStyle w:val="NoSpacing"/>
            </w:pPr>
          </w:p>
        </w:tc>
        <w:tc>
          <w:tcPr>
            <w:tcW w:w="2126" w:type="dxa"/>
          </w:tcPr>
          <w:p w14:paraId="54920C14" w14:textId="559C634C" w:rsidR="00C2567D" w:rsidRDefault="00C2567D" w:rsidP="002A1CE0">
            <w:pPr>
              <w:pStyle w:val="NoSpacing"/>
            </w:pPr>
            <w:r>
              <w:t>Assistant Director of Digital, Data &amp; the Customer Experience</w:t>
            </w:r>
          </w:p>
        </w:tc>
        <w:tc>
          <w:tcPr>
            <w:tcW w:w="2410" w:type="dxa"/>
          </w:tcPr>
          <w:p w14:paraId="6B22A41E" w14:textId="77777777" w:rsidR="00C2567D" w:rsidRDefault="00C2567D" w:rsidP="002A1CE0">
            <w:pPr>
              <w:pStyle w:val="NoSpacing"/>
            </w:pPr>
          </w:p>
        </w:tc>
      </w:tr>
      <w:tr w:rsidR="00C2567D" w14:paraId="18FE7545" w14:textId="77777777" w:rsidTr="0034165B">
        <w:tc>
          <w:tcPr>
            <w:tcW w:w="690" w:type="dxa"/>
          </w:tcPr>
          <w:p w14:paraId="0B086B03" w14:textId="2F460BE9" w:rsidR="00C2567D" w:rsidRPr="00B110FE" w:rsidRDefault="00C2567D" w:rsidP="002A1CE0">
            <w:pPr>
              <w:pStyle w:val="NoSpacing"/>
              <w:rPr>
                <w:b/>
                <w:bCs/>
              </w:rPr>
            </w:pPr>
            <w:r w:rsidRPr="00B110FE">
              <w:rPr>
                <w:b/>
                <w:bCs/>
              </w:rPr>
              <w:t>8</w:t>
            </w:r>
          </w:p>
        </w:tc>
        <w:tc>
          <w:tcPr>
            <w:tcW w:w="3841" w:type="dxa"/>
          </w:tcPr>
          <w:p w14:paraId="5CFE03D7" w14:textId="0A953464" w:rsidR="00C2567D" w:rsidRDefault="00C2567D" w:rsidP="002A1CE0">
            <w:pPr>
              <w:pStyle w:val="NoSpacing"/>
            </w:pPr>
            <w:r w:rsidRPr="00BE02AC">
              <w:rPr>
                <w:b/>
                <w:bCs/>
              </w:rPr>
              <w:t xml:space="preserve">Human Resources and Organisational Development </w:t>
            </w:r>
            <w:r>
              <w:t xml:space="preserve">Systems, processes and policies need to be reviewed, </w:t>
            </w:r>
            <w:proofErr w:type="gramStart"/>
            <w:r>
              <w:t>refreshed</w:t>
            </w:r>
            <w:proofErr w:type="gramEnd"/>
            <w:r>
              <w:t xml:space="preserve"> and made fit for purpose to deliver the council priorities as a matter of urgency. It is important that a culture is developed to ensure that all council services understand and comply with agreed corporate policies. This needs to be closely monitored and any non-compliance </w:t>
            </w:r>
            <w:proofErr w:type="gramStart"/>
            <w:r>
              <w:t>identified</w:t>
            </w:r>
            <w:proofErr w:type="gramEnd"/>
            <w:r>
              <w:t xml:space="preserve"> and appropriate corrective action taken. A robust annual appraisal system should be developed that aligns individual and organisational objectives, values and behaviours as set out by the new Corporate Plan.</w:t>
            </w:r>
          </w:p>
        </w:tc>
        <w:tc>
          <w:tcPr>
            <w:tcW w:w="5245" w:type="dxa"/>
          </w:tcPr>
          <w:p w14:paraId="041C95B2" w14:textId="4876A9F0" w:rsidR="00C2567D" w:rsidRDefault="00C2567D" w:rsidP="00DA65B4">
            <w:pPr>
              <w:pStyle w:val="NoSpacing"/>
            </w:pPr>
            <w:r>
              <w:t xml:space="preserve">Council wide appraisal and target setting has been reintroduced with promising compliance results. A Management Competency </w:t>
            </w:r>
            <w:r w:rsidR="00370709">
              <w:t>F</w:t>
            </w:r>
            <w:r>
              <w:t>ramework has been developed and will be implemented with a soft launch until 31</w:t>
            </w:r>
            <w:r w:rsidRPr="00303A2B">
              <w:rPr>
                <w:vertAlign w:val="superscript"/>
              </w:rPr>
              <w:t>st</w:t>
            </w:r>
            <w:r>
              <w:t xml:space="preserve"> March 2024 and a more formal embedded approach from 1</w:t>
            </w:r>
            <w:r w:rsidRPr="00303A2B">
              <w:rPr>
                <w:vertAlign w:val="superscript"/>
              </w:rPr>
              <w:t>st</w:t>
            </w:r>
            <w:r>
              <w:t xml:space="preserve"> April 2024.</w:t>
            </w:r>
          </w:p>
          <w:p w14:paraId="57A784A9" w14:textId="77777777" w:rsidR="00C2567D" w:rsidRDefault="00C2567D" w:rsidP="00DA65B4">
            <w:pPr>
              <w:pStyle w:val="NoSpacing"/>
            </w:pPr>
          </w:p>
          <w:p w14:paraId="50992DAC" w14:textId="77777777" w:rsidR="00C2567D" w:rsidRDefault="00C2567D" w:rsidP="00DA65B4">
            <w:pPr>
              <w:pStyle w:val="NoSpacing"/>
            </w:pPr>
            <w:r>
              <w:t xml:space="preserve">Additional (short term) investment has been secured in HR to support with the Council wide reorganisations. Clarity has now been provided in terms of the sign </w:t>
            </w:r>
            <w:proofErr w:type="gramStart"/>
            <w:r>
              <w:t>off of</w:t>
            </w:r>
            <w:proofErr w:type="gramEnd"/>
            <w:r>
              <w:t xml:space="preserve"> HR policies. HR Policies will now be signed off by the Head of Paid Services (with advice from the Director of HR) after it has been discussed with CLT.</w:t>
            </w:r>
          </w:p>
          <w:p w14:paraId="1F79F701" w14:textId="77777777" w:rsidR="00C2567D" w:rsidRDefault="00C2567D" w:rsidP="00DA65B4">
            <w:pPr>
              <w:pStyle w:val="NoSpacing"/>
            </w:pPr>
          </w:p>
          <w:p w14:paraId="70CB2DB4" w14:textId="77777777" w:rsidR="00C2567D" w:rsidRDefault="00C2567D" w:rsidP="00DA65B4">
            <w:pPr>
              <w:pStyle w:val="NoSpacing"/>
            </w:pPr>
            <w:r w:rsidRPr="000F69A1">
              <w:t>There is a need for a th</w:t>
            </w:r>
            <w:r>
              <w:t>o</w:t>
            </w:r>
            <w:r w:rsidRPr="000F69A1">
              <w:t xml:space="preserve">rough review of several HR policies. In light of the ongoing reorganisation and the numerous consultations with trade unions, HR will be prioritising </w:t>
            </w:r>
            <w:proofErr w:type="gramStart"/>
            <w:r w:rsidRPr="000F69A1">
              <w:t>the  main</w:t>
            </w:r>
            <w:proofErr w:type="gramEnd"/>
            <w:r w:rsidRPr="000F69A1">
              <w:t xml:space="preserve"> policies that require review. This approach will enable meaningful consultation with the unions. </w:t>
            </w:r>
            <w:proofErr w:type="gramStart"/>
            <w:r w:rsidRPr="000F69A1">
              <w:t>The  key</w:t>
            </w:r>
            <w:proofErr w:type="gramEnd"/>
            <w:r w:rsidRPr="000F69A1">
              <w:t xml:space="preserve"> policies will be implemented by 1</w:t>
            </w:r>
            <w:r w:rsidRPr="000F69A1">
              <w:rPr>
                <w:vertAlign w:val="superscript"/>
              </w:rPr>
              <w:t>st</w:t>
            </w:r>
            <w:r w:rsidRPr="000F69A1">
              <w:t xml:space="preserve"> April 2024. All other remaining HR policies will be reviewed and implemented by 1</w:t>
            </w:r>
            <w:r w:rsidRPr="000F69A1">
              <w:rPr>
                <w:vertAlign w:val="superscript"/>
              </w:rPr>
              <w:t>st</w:t>
            </w:r>
            <w:r w:rsidRPr="000F69A1">
              <w:t xml:space="preserve"> April 2025.</w:t>
            </w:r>
          </w:p>
          <w:p w14:paraId="2D6AB9DA" w14:textId="108F9EC9" w:rsidR="00C2567D" w:rsidRDefault="00C2567D" w:rsidP="00DA65B4">
            <w:pPr>
              <w:pStyle w:val="NoSpacing"/>
            </w:pPr>
          </w:p>
        </w:tc>
        <w:tc>
          <w:tcPr>
            <w:tcW w:w="2126" w:type="dxa"/>
          </w:tcPr>
          <w:p w14:paraId="32246AC5" w14:textId="7755B0C0" w:rsidR="00C2567D" w:rsidRDefault="00C2567D" w:rsidP="002A1CE0">
            <w:pPr>
              <w:pStyle w:val="NoSpacing"/>
            </w:pPr>
            <w:r>
              <w:t>Director of HR &amp; OD</w:t>
            </w:r>
          </w:p>
        </w:tc>
        <w:tc>
          <w:tcPr>
            <w:tcW w:w="2410" w:type="dxa"/>
          </w:tcPr>
          <w:p w14:paraId="3A20D7AA" w14:textId="77777777" w:rsidR="00C2567D" w:rsidRDefault="00C2567D" w:rsidP="002A1CE0">
            <w:pPr>
              <w:pStyle w:val="NoSpacing"/>
            </w:pPr>
          </w:p>
        </w:tc>
      </w:tr>
      <w:tr w:rsidR="00C2567D" w14:paraId="49D5EF31" w14:textId="77777777" w:rsidTr="0034165B">
        <w:tc>
          <w:tcPr>
            <w:tcW w:w="690" w:type="dxa"/>
          </w:tcPr>
          <w:p w14:paraId="160E2840" w14:textId="6541E415" w:rsidR="00C2567D" w:rsidRPr="00B110FE" w:rsidRDefault="00C2567D" w:rsidP="002A1CE0">
            <w:pPr>
              <w:pStyle w:val="NoSpacing"/>
              <w:rPr>
                <w:b/>
                <w:bCs/>
              </w:rPr>
            </w:pPr>
            <w:r w:rsidRPr="00B110FE">
              <w:rPr>
                <w:b/>
                <w:bCs/>
              </w:rPr>
              <w:t>9</w:t>
            </w:r>
            <w:r>
              <w:rPr>
                <w:b/>
                <w:bCs/>
              </w:rPr>
              <w:t>a</w:t>
            </w:r>
          </w:p>
        </w:tc>
        <w:tc>
          <w:tcPr>
            <w:tcW w:w="3841" w:type="dxa"/>
          </w:tcPr>
          <w:p w14:paraId="10D1821D" w14:textId="77777777" w:rsidR="00C2567D" w:rsidRPr="00BE02AC" w:rsidRDefault="00C2567D" w:rsidP="002A1CE0">
            <w:pPr>
              <w:pStyle w:val="NoSpacing"/>
              <w:rPr>
                <w:b/>
                <w:bCs/>
              </w:rPr>
            </w:pPr>
            <w:r w:rsidRPr="00BE02AC">
              <w:rPr>
                <w:b/>
                <w:bCs/>
              </w:rPr>
              <w:t xml:space="preserve">Workforce strategy and culture </w:t>
            </w:r>
          </w:p>
          <w:p w14:paraId="1B6A8BBF" w14:textId="77777777" w:rsidR="00C2567D" w:rsidRDefault="00C2567D" w:rsidP="002A1CE0">
            <w:pPr>
              <w:pStyle w:val="NoSpacing"/>
            </w:pPr>
            <w:r>
              <w:t xml:space="preserve">The council should develop a workforce strategy setting out plans to attract, recruit, retain and develop the workforce with the skills and capabilities required to achieve the council objectives. </w:t>
            </w:r>
          </w:p>
          <w:p w14:paraId="382ACAC9" w14:textId="1E3EB8A9" w:rsidR="00C2567D" w:rsidRDefault="00C2567D" w:rsidP="002A1CE0">
            <w:pPr>
              <w:pStyle w:val="NoSpacing"/>
            </w:pPr>
          </w:p>
        </w:tc>
        <w:tc>
          <w:tcPr>
            <w:tcW w:w="5245" w:type="dxa"/>
          </w:tcPr>
          <w:p w14:paraId="4361DF98" w14:textId="77777777" w:rsidR="00C2567D" w:rsidRPr="00C2567D" w:rsidRDefault="00C2567D" w:rsidP="002753A7">
            <w:pPr>
              <w:pStyle w:val="NoSpacing"/>
              <w:rPr>
                <w:rFonts w:ascii="Calibri" w:hAnsi="Calibri" w:cs="Calibri"/>
              </w:rPr>
            </w:pPr>
            <w:r w:rsidRPr="00C2567D">
              <w:rPr>
                <w:rFonts w:ascii="Calibri" w:hAnsi="Calibri" w:cs="Calibri"/>
              </w:rPr>
              <w:t xml:space="preserve">Workforce strategy has been developed. The five main priorities of the strategy are: </w:t>
            </w:r>
          </w:p>
          <w:p w14:paraId="1CCBAA34" w14:textId="77777777" w:rsidR="00C2567D" w:rsidRPr="00C2567D" w:rsidRDefault="00C2567D" w:rsidP="002753A7">
            <w:pPr>
              <w:pStyle w:val="NoSpacing"/>
              <w:rPr>
                <w:rFonts w:ascii="Calibri" w:hAnsi="Calibri" w:cs="Calibri"/>
              </w:rPr>
            </w:pPr>
          </w:p>
          <w:p w14:paraId="4C4D5A84" w14:textId="77777777" w:rsidR="00C2567D" w:rsidRPr="00C2567D" w:rsidRDefault="00C2567D" w:rsidP="002753A7">
            <w:pPr>
              <w:pStyle w:val="BodyText"/>
              <w:numPr>
                <w:ilvl w:val="0"/>
                <w:numId w:val="5"/>
              </w:numPr>
              <w:spacing w:before="24" w:line="213" w:lineRule="auto"/>
              <w:rPr>
                <w:rFonts w:ascii="Calibri" w:hAnsi="Calibri" w:cs="Calibri"/>
                <w:w w:val="105"/>
                <w:sz w:val="22"/>
                <w:szCs w:val="22"/>
              </w:rPr>
            </w:pPr>
            <w:r w:rsidRPr="00C2567D">
              <w:rPr>
                <w:rFonts w:ascii="Calibri" w:hAnsi="Calibri" w:cs="Calibri"/>
                <w:w w:val="105"/>
                <w:sz w:val="22"/>
                <w:szCs w:val="22"/>
              </w:rPr>
              <w:t>Culture and Performance Change -</w:t>
            </w:r>
            <w:r w:rsidRPr="00C2567D">
              <w:rPr>
                <w:rFonts w:ascii="Calibri" w:hAnsi="Calibri" w:cs="Calibri"/>
                <w:spacing w:val="-2"/>
                <w:w w:val="105"/>
                <w:sz w:val="22"/>
                <w:szCs w:val="22"/>
              </w:rPr>
              <w:t xml:space="preserve"> </w:t>
            </w:r>
            <w:r w:rsidRPr="00C2567D">
              <w:rPr>
                <w:rFonts w:ascii="Calibri" w:hAnsi="Calibri" w:cs="Calibri"/>
                <w:w w:val="105"/>
                <w:sz w:val="22"/>
                <w:szCs w:val="22"/>
              </w:rPr>
              <w:t>creating a resilient, high performing Council with a culture and way of working that enables everyone to perform to their best for the benefit of</w:t>
            </w:r>
            <w:r w:rsidRPr="00C2567D">
              <w:rPr>
                <w:rFonts w:ascii="Calibri" w:hAnsi="Calibri" w:cs="Calibri"/>
                <w:spacing w:val="-3"/>
                <w:w w:val="105"/>
                <w:sz w:val="22"/>
                <w:szCs w:val="22"/>
              </w:rPr>
              <w:t xml:space="preserve"> </w:t>
            </w:r>
            <w:r w:rsidRPr="00C2567D">
              <w:rPr>
                <w:rFonts w:ascii="Calibri" w:hAnsi="Calibri" w:cs="Calibri"/>
                <w:w w:val="105"/>
                <w:sz w:val="22"/>
                <w:szCs w:val="22"/>
              </w:rPr>
              <w:t>residents.</w:t>
            </w:r>
          </w:p>
          <w:p w14:paraId="4E965AAF" w14:textId="77777777" w:rsidR="00C2567D" w:rsidRPr="00C2567D" w:rsidRDefault="00C2567D" w:rsidP="002753A7">
            <w:pPr>
              <w:pStyle w:val="BodyText"/>
              <w:spacing w:before="24" w:line="213" w:lineRule="auto"/>
              <w:rPr>
                <w:rFonts w:ascii="Calibri" w:hAnsi="Calibri" w:cs="Calibri"/>
                <w:w w:val="105"/>
                <w:sz w:val="22"/>
                <w:szCs w:val="22"/>
              </w:rPr>
            </w:pPr>
          </w:p>
          <w:p w14:paraId="7921D884" w14:textId="77777777" w:rsidR="00C2567D" w:rsidRPr="00C2567D" w:rsidRDefault="00C2567D" w:rsidP="732ECA48">
            <w:pPr>
              <w:pStyle w:val="BodyText"/>
              <w:numPr>
                <w:ilvl w:val="0"/>
                <w:numId w:val="5"/>
              </w:numPr>
              <w:spacing w:before="24" w:line="213" w:lineRule="auto"/>
              <w:rPr>
                <w:rFonts w:ascii="Calibri" w:hAnsi="Calibri" w:cs="Calibri"/>
                <w:spacing w:val="-2"/>
                <w:w w:val="105"/>
                <w:sz w:val="22"/>
                <w:szCs w:val="22"/>
              </w:rPr>
            </w:pPr>
            <w:r w:rsidRPr="00C2567D">
              <w:rPr>
                <w:rFonts w:ascii="Calibri" w:hAnsi="Calibri" w:cs="Calibri"/>
                <w:w w:val="105"/>
                <w:sz w:val="22"/>
                <w:szCs w:val="22"/>
              </w:rPr>
              <w:t>Provide</w:t>
            </w:r>
            <w:r w:rsidRPr="00C2567D">
              <w:rPr>
                <w:rFonts w:ascii="Calibri" w:hAnsi="Calibri" w:cs="Calibri"/>
                <w:spacing w:val="-3"/>
                <w:w w:val="105"/>
                <w:sz w:val="22"/>
                <w:szCs w:val="22"/>
              </w:rPr>
              <w:t xml:space="preserve"> </w:t>
            </w:r>
            <w:r w:rsidRPr="00C2567D">
              <w:rPr>
                <w:rFonts w:ascii="Calibri" w:hAnsi="Calibri" w:cs="Calibri"/>
                <w:w w:val="105"/>
                <w:sz w:val="22"/>
                <w:szCs w:val="22"/>
              </w:rPr>
              <w:t>the framework</w:t>
            </w:r>
            <w:r w:rsidRPr="00C2567D">
              <w:rPr>
                <w:rFonts w:ascii="Calibri" w:hAnsi="Calibri" w:cs="Calibri"/>
                <w:spacing w:val="-3"/>
                <w:w w:val="105"/>
                <w:sz w:val="22"/>
                <w:szCs w:val="22"/>
              </w:rPr>
              <w:t xml:space="preserve"> </w:t>
            </w:r>
            <w:r w:rsidRPr="00C2567D">
              <w:rPr>
                <w:rFonts w:ascii="Calibri" w:hAnsi="Calibri" w:cs="Calibri"/>
                <w:w w:val="105"/>
                <w:sz w:val="22"/>
                <w:szCs w:val="22"/>
              </w:rPr>
              <w:t>for effective</w:t>
            </w:r>
            <w:r w:rsidRPr="00C2567D">
              <w:rPr>
                <w:rFonts w:ascii="Calibri" w:hAnsi="Calibri" w:cs="Calibri"/>
                <w:spacing w:val="-3"/>
                <w:w w:val="105"/>
                <w:sz w:val="22"/>
                <w:szCs w:val="22"/>
              </w:rPr>
              <w:t xml:space="preserve"> </w:t>
            </w:r>
            <w:r w:rsidRPr="00C2567D">
              <w:rPr>
                <w:rFonts w:ascii="Calibri" w:hAnsi="Calibri" w:cs="Calibri"/>
                <w:w w:val="105"/>
                <w:sz w:val="22"/>
                <w:szCs w:val="22"/>
              </w:rPr>
              <w:t xml:space="preserve">intervention to ensure our workforce is future proofed and is fit for </w:t>
            </w:r>
            <w:r w:rsidRPr="00C2567D">
              <w:rPr>
                <w:rFonts w:ascii="Calibri" w:hAnsi="Calibri" w:cs="Calibri"/>
                <w:spacing w:val="-2"/>
                <w:w w:val="105"/>
                <w:sz w:val="22"/>
                <w:szCs w:val="22"/>
              </w:rPr>
              <w:t>purpose.</w:t>
            </w:r>
          </w:p>
          <w:p w14:paraId="227C4434" w14:textId="77777777" w:rsidR="00C2567D" w:rsidRPr="00C2567D" w:rsidRDefault="00C2567D" w:rsidP="002753A7">
            <w:pPr>
              <w:pStyle w:val="BodyText"/>
              <w:spacing w:before="24" w:line="213" w:lineRule="auto"/>
              <w:rPr>
                <w:rFonts w:ascii="Calibri" w:hAnsi="Calibri" w:cs="Calibri"/>
                <w:spacing w:val="-2"/>
                <w:w w:val="105"/>
                <w:sz w:val="22"/>
                <w:szCs w:val="22"/>
              </w:rPr>
            </w:pPr>
          </w:p>
          <w:p w14:paraId="1451494C" w14:textId="77777777" w:rsidR="00C2567D" w:rsidRPr="00C2567D" w:rsidRDefault="00C2567D" w:rsidP="002753A7">
            <w:pPr>
              <w:pStyle w:val="BodyText"/>
              <w:numPr>
                <w:ilvl w:val="0"/>
                <w:numId w:val="5"/>
              </w:numPr>
              <w:spacing w:before="24" w:line="213" w:lineRule="auto"/>
              <w:rPr>
                <w:rFonts w:ascii="Calibri" w:hAnsi="Calibri" w:cs="Calibri"/>
                <w:spacing w:val="-2"/>
                <w:w w:val="105"/>
                <w:sz w:val="22"/>
                <w:szCs w:val="22"/>
              </w:rPr>
            </w:pPr>
            <w:r w:rsidRPr="00C2567D">
              <w:rPr>
                <w:rFonts w:ascii="Calibri" w:hAnsi="Calibri" w:cs="Calibri"/>
                <w:spacing w:val="-2"/>
                <w:w w:val="105"/>
                <w:sz w:val="22"/>
                <w:szCs w:val="22"/>
              </w:rPr>
              <w:t xml:space="preserve">Engagement, </w:t>
            </w:r>
            <w:proofErr w:type="gramStart"/>
            <w:r w:rsidRPr="00C2567D">
              <w:rPr>
                <w:rFonts w:ascii="Calibri" w:hAnsi="Calibri" w:cs="Calibri"/>
                <w:w w:val="105"/>
                <w:sz w:val="22"/>
                <w:szCs w:val="22"/>
              </w:rPr>
              <w:t>involvement</w:t>
            </w:r>
            <w:proofErr w:type="gramEnd"/>
            <w:r w:rsidRPr="00C2567D">
              <w:rPr>
                <w:rFonts w:ascii="Calibri" w:hAnsi="Calibri" w:cs="Calibri"/>
                <w:spacing w:val="-3"/>
                <w:w w:val="105"/>
                <w:sz w:val="22"/>
                <w:szCs w:val="22"/>
              </w:rPr>
              <w:t xml:space="preserve"> </w:t>
            </w:r>
            <w:r w:rsidRPr="00C2567D">
              <w:rPr>
                <w:rFonts w:ascii="Calibri" w:hAnsi="Calibri" w:cs="Calibri"/>
                <w:w w:val="105"/>
                <w:sz w:val="22"/>
                <w:szCs w:val="22"/>
              </w:rPr>
              <w:t xml:space="preserve">and </w:t>
            </w:r>
            <w:r w:rsidRPr="00C2567D">
              <w:rPr>
                <w:rFonts w:ascii="Calibri" w:hAnsi="Calibri" w:cs="Calibri"/>
                <w:spacing w:val="-2"/>
                <w:w w:val="105"/>
                <w:sz w:val="22"/>
                <w:szCs w:val="22"/>
              </w:rPr>
              <w:t xml:space="preserve">collaboration </w:t>
            </w:r>
            <w:r w:rsidRPr="00C2567D">
              <w:rPr>
                <w:rFonts w:ascii="Calibri" w:hAnsi="Calibri" w:cs="Calibri"/>
                <w:w w:val="105"/>
                <w:sz w:val="22"/>
                <w:szCs w:val="22"/>
              </w:rPr>
              <w:t>happen</w:t>
            </w:r>
            <w:r w:rsidRPr="00C2567D">
              <w:rPr>
                <w:rFonts w:ascii="Calibri" w:hAnsi="Calibri" w:cs="Calibri"/>
                <w:spacing w:val="-3"/>
                <w:w w:val="105"/>
                <w:sz w:val="22"/>
                <w:szCs w:val="22"/>
              </w:rPr>
              <w:t xml:space="preserve"> </w:t>
            </w:r>
            <w:r w:rsidRPr="00C2567D">
              <w:rPr>
                <w:rFonts w:ascii="Calibri" w:hAnsi="Calibri" w:cs="Calibri"/>
                <w:w w:val="105"/>
                <w:sz w:val="22"/>
                <w:szCs w:val="22"/>
              </w:rPr>
              <w:t>across</w:t>
            </w:r>
            <w:r w:rsidRPr="00C2567D">
              <w:rPr>
                <w:rFonts w:ascii="Calibri" w:hAnsi="Calibri" w:cs="Calibri"/>
                <w:spacing w:val="-3"/>
                <w:w w:val="105"/>
                <w:sz w:val="22"/>
                <w:szCs w:val="22"/>
              </w:rPr>
              <w:t xml:space="preserve"> </w:t>
            </w:r>
            <w:r w:rsidRPr="00C2567D">
              <w:rPr>
                <w:rFonts w:ascii="Calibri" w:hAnsi="Calibri" w:cs="Calibri"/>
                <w:w w:val="105"/>
                <w:sz w:val="22"/>
                <w:szCs w:val="22"/>
              </w:rPr>
              <w:t xml:space="preserve">all levels in the </w:t>
            </w:r>
            <w:proofErr w:type="spellStart"/>
            <w:r w:rsidRPr="00C2567D">
              <w:rPr>
                <w:rFonts w:ascii="Calibri" w:hAnsi="Calibri" w:cs="Calibri"/>
                <w:spacing w:val="-2"/>
                <w:w w:val="105"/>
                <w:sz w:val="22"/>
                <w:szCs w:val="22"/>
              </w:rPr>
              <w:t>organisation</w:t>
            </w:r>
            <w:proofErr w:type="spellEnd"/>
            <w:r w:rsidRPr="00C2567D">
              <w:rPr>
                <w:rFonts w:ascii="Calibri" w:hAnsi="Calibri" w:cs="Calibri"/>
                <w:spacing w:val="-2"/>
                <w:w w:val="105"/>
                <w:sz w:val="22"/>
                <w:szCs w:val="22"/>
              </w:rPr>
              <w:t>.</w:t>
            </w:r>
          </w:p>
          <w:p w14:paraId="0D75AA40" w14:textId="77777777" w:rsidR="00C2567D" w:rsidRPr="00C2567D" w:rsidRDefault="00C2567D" w:rsidP="002753A7">
            <w:pPr>
              <w:pStyle w:val="BodyText"/>
              <w:spacing w:before="24" w:line="213" w:lineRule="auto"/>
              <w:rPr>
                <w:rFonts w:ascii="Calibri" w:hAnsi="Calibri" w:cs="Calibri"/>
                <w:spacing w:val="-2"/>
                <w:w w:val="105"/>
                <w:sz w:val="22"/>
                <w:szCs w:val="22"/>
              </w:rPr>
            </w:pPr>
          </w:p>
          <w:p w14:paraId="76111138" w14:textId="77777777" w:rsidR="00C2567D" w:rsidRPr="00C2567D" w:rsidRDefault="00C2567D" w:rsidP="002753A7">
            <w:pPr>
              <w:pStyle w:val="BodyText"/>
              <w:numPr>
                <w:ilvl w:val="0"/>
                <w:numId w:val="5"/>
              </w:numPr>
              <w:spacing w:before="25" w:line="213" w:lineRule="auto"/>
              <w:rPr>
                <w:rFonts w:ascii="Calibri" w:hAnsi="Calibri" w:cs="Calibri"/>
                <w:w w:val="110"/>
                <w:sz w:val="22"/>
                <w:szCs w:val="22"/>
              </w:rPr>
            </w:pPr>
            <w:r w:rsidRPr="00C2567D">
              <w:rPr>
                <w:rFonts w:ascii="Calibri" w:hAnsi="Calibri" w:cs="Calibri"/>
                <w:w w:val="110"/>
                <w:sz w:val="22"/>
                <w:szCs w:val="22"/>
              </w:rPr>
              <w:t xml:space="preserve">Strong and sustained </w:t>
            </w:r>
            <w:r w:rsidRPr="00C2567D">
              <w:rPr>
                <w:rFonts w:ascii="Calibri" w:hAnsi="Calibri" w:cs="Calibri"/>
                <w:spacing w:val="-2"/>
                <w:w w:val="110"/>
                <w:sz w:val="22"/>
                <w:szCs w:val="22"/>
              </w:rPr>
              <w:t>commitment</w:t>
            </w:r>
            <w:r w:rsidRPr="00C2567D">
              <w:rPr>
                <w:rFonts w:ascii="Calibri" w:hAnsi="Calibri" w:cs="Calibri"/>
                <w:spacing w:val="-25"/>
                <w:w w:val="110"/>
                <w:sz w:val="22"/>
                <w:szCs w:val="22"/>
              </w:rPr>
              <w:t xml:space="preserve"> </w:t>
            </w:r>
            <w:r w:rsidRPr="00C2567D">
              <w:rPr>
                <w:rFonts w:ascii="Calibri" w:hAnsi="Calibri" w:cs="Calibri"/>
                <w:spacing w:val="-2"/>
                <w:w w:val="110"/>
                <w:sz w:val="22"/>
                <w:szCs w:val="22"/>
              </w:rPr>
              <w:t>to</w:t>
            </w:r>
            <w:r w:rsidRPr="00C2567D">
              <w:rPr>
                <w:rFonts w:ascii="Calibri" w:hAnsi="Calibri" w:cs="Calibri"/>
                <w:spacing w:val="-25"/>
                <w:w w:val="110"/>
                <w:sz w:val="22"/>
                <w:szCs w:val="22"/>
              </w:rPr>
              <w:t xml:space="preserve"> </w:t>
            </w:r>
            <w:r w:rsidRPr="00C2567D">
              <w:rPr>
                <w:rFonts w:ascii="Calibri" w:hAnsi="Calibri" w:cs="Calibri"/>
                <w:spacing w:val="-2"/>
                <w:w w:val="110"/>
                <w:sz w:val="22"/>
                <w:szCs w:val="22"/>
              </w:rPr>
              <w:t xml:space="preserve">equality, </w:t>
            </w:r>
            <w:r w:rsidRPr="00C2567D">
              <w:rPr>
                <w:rFonts w:ascii="Calibri" w:hAnsi="Calibri" w:cs="Calibri"/>
                <w:sz w:val="22"/>
                <w:szCs w:val="22"/>
              </w:rPr>
              <w:t xml:space="preserve">diversity &amp; inclusion and </w:t>
            </w:r>
            <w:r w:rsidRPr="00C2567D">
              <w:rPr>
                <w:rFonts w:ascii="Calibri" w:hAnsi="Calibri" w:cs="Calibri"/>
                <w:w w:val="110"/>
                <w:sz w:val="22"/>
                <w:szCs w:val="22"/>
              </w:rPr>
              <w:t>to</w:t>
            </w:r>
            <w:r w:rsidRPr="00C2567D">
              <w:rPr>
                <w:rFonts w:ascii="Calibri" w:hAnsi="Calibri" w:cs="Calibri"/>
                <w:spacing w:val="-6"/>
                <w:w w:val="110"/>
                <w:sz w:val="22"/>
                <w:szCs w:val="22"/>
              </w:rPr>
              <w:t xml:space="preserve"> </w:t>
            </w:r>
            <w:r w:rsidRPr="00C2567D">
              <w:rPr>
                <w:rFonts w:ascii="Calibri" w:hAnsi="Calibri" w:cs="Calibri"/>
                <w:w w:val="110"/>
                <w:sz w:val="22"/>
                <w:szCs w:val="22"/>
              </w:rPr>
              <w:t>wellbeing.</w:t>
            </w:r>
          </w:p>
          <w:p w14:paraId="07CE857D" w14:textId="77777777" w:rsidR="00C2567D" w:rsidRPr="00C2567D" w:rsidRDefault="00C2567D" w:rsidP="002753A7">
            <w:pPr>
              <w:pStyle w:val="BodyText"/>
              <w:spacing w:before="25" w:line="213" w:lineRule="auto"/>
              <w:rPr>
                <w:rFonts w:ascii="Calibri" w:hAnsi="Calibri" w:cs="Calibri"/>
                <w:w w:val="110"/>
                <w:sz w:val="22"/>
                <w:szCs w:val="22"/>
              </w:rPr>
            </w:pPr>
          </w:p>
          <w:p w14:paraId="18E3AE81" w14:textId="77777777" w:rsidR="00C2567D" w:rsidRPr="00C2567D" w:rsidRDefault="00C2567D" w:rsidP="002753A7">
            <w:pPr>
              <w:pStyle w:val="BodyText"/>
              <w:numPr>
                <w:ilvl w:val="0"/>
                <w:numId w:val="5"/>
              </w:numPr>
              <w:spacing w:line="218" w:lineRule="auto"/>
              <w:ind w:right="6"/>
              <w:rPr>
                <w:rFonts w:ascii="Calibri" w:hAnsi="Calibri" w:cs="Calibri"/>
                <w:spacing w:val="-2"/>
                <w:w w:val="105"/>
                <w:sz w:val="22"/>
                <w:szCs w:val="22"/>
              </w:rPr>
            </w:pPr>
            <w:r w:rsidRPr="00C2567D">
              <w:rPr>
                <w:rFonts w:ascii="Calibri" w:hAnsi="Calibri" w:cs="Calibri"/>
                <w:w w:val="105"/>
                <w:sz w:val="22"/>
                <w:szCs w:val="22"/>
              </w:rPr>
              <w:t>Leaders</w:t>
            </w:r>
            <w:r w:rsidRPr="00C2567D">
              <w:rPr>
                <w:rFonts w:ascii="Calibri" w:hAnsi="Calibri" w:cs="Calibri"/>
                <w:spacing w:val="-3"/>
                <w:w w:val="105"/>
                <w:sz w:val="22"/>
                <w:szCs w:val="22"/>
              </w:rPr>
              <w:t xml:space="preserve"> </w:t>
            </w:r>
            <w:r w:rsidRPr="00C2567D">
              <w:rPr>
                <w:rFonts w:ascii="Calibri" w:hAnsi="Calibri" w:cs="Calibri"/>
                <w:w w:val="105"/>
                <w:sz w:val="22"/>
                <w:szCs w:val="22"/>
              </w:rPr>
              <w:t>and managers</w:t>
            </w:r>
            <w:r w:rsidRPr="00C2567D">
              <w:rPr>
                <w:rFonts w:ascii="Calibri" w:hAnsi="Calibri" w:cs="Calibri"/>
                <w:spacing w:val="-3"/>
                <w:w w:val="105"/>
                <w:sz w:val="22"/>
                <w:szCs w:val="22"/>
              </w:rPr>
              <w:t xml:space="preserve"> </w:t>
            </w:r>
            <w:r w:rsidRPr="00C2567D">
              <w:rPr>
                <w:rFonts w:ascii="Calibri" w:hAnsi="Calibri" w:cs="Calibri"/>
                <w:w w:val="105"/>
                <w:sz w:val="22"/>
                <w:szCs w:val="22"/>
              </w:rPr>
              <w:t xml:space="preserve">are </w:t>
            </w:r>
            <w:r w:rsidRPr="00C2567D">
              <w:rPr>
                <w:rFonts w:ascii="Calibri" w:hAnsi="Calibri" w:cs="Calibri"/>
                <w:spacing w:val="-2"/>
                <w:w w:val="105"/>
                <w:sz w:val="22"/>
                <w:szCs w:val="22"/>
              </w:rPr>
              <w:t xml:space="preserve">developed, </w:t>
            </w:r>
            <w:proofErr w:type="gramStart"/>
            <w:r w:rsidRPr="00C2567D">
              <w:rPr>
                <w:rFonts w:ascii="Calibri" w:hAnsi="Calibri" w:cs="Calibri"/>
                <w:w w:val="105"/>
                <w:sz w:val="22"/>
                <w:szCs w:val="22"/>
              </w:rPr>
              <w:t>supported</w:t>
            </w:r>
            <w:proofErr w:type="gramEnd"/>
            <w:r w:rsidRPr="00C2567D">
              <w:rPr>
                <w:rFonts w:ascii="Calibri" w:hAnsi="Calibri" w:cs="Calibri"/>
                <w:spacing w:val="-3"/>
                <w:w w:val="105"/>
                <w:sz w:val="22"/>
                <w:szCs w:val="22"/>
              </w:rPr>
              <w:t xml:space="preserve"> </w:t>
            </w:r>
            <w:r w:rsidRPr="00C2567D">
              <w:rPr>
                <w:rFonts w:ascii="Calibri" w:hAnsi="Calibri" w:cs="Calibri"/>
                <w:w w:val="105"/>
                <w:sz w:val="22"/>
                <w:szCs w:val="22"/>
              </w:rPr>
              <w:t xml:space="preserve">and </w:t>
            </w:r>
            <w:r w:rsidRPr="00C2567D">
              <w:rPr>
                <w:rFonts w:ascii="Calibri" w:hAnsi="Calibri" w:cs="Calibri"/>
                <w:spacing w:val="-2"/>
                <w:w w:val="105"/>
                <w:sz w:val="22"/>
                <w:szCs w:val="22"/>
              </w:rPr>
              <w:t>challenged to be their best.</w:t>
            </w:r>
          </w:p>
          <w:p w14:paraId="71AA5723" w14:textId="77777777" w:rsidR="00C2567D" w:rsidRPr="00C2567D" w:rsidRDefault="00C2567D" w:rsidP="002753A7">
            <w:pPr>
              <w:pStyle w:val="BodyText"/>
              <w:spacing w:line="218" w:lineRule="auto"/>
              <w:ind w:right="6"/>
              <w:rPr>
                <w:rFonts w:ascii="Calibri" w:hAnsi="Calibri" w:cs="Calibri"/>
                <w:spacing w:val="-2"/>
                <w:sz w:val="22"/>
                <w:szCs w:val="22"/>
              </w:rPr>
            </w:pPr>
          </w:p>
          <w:p w14:paraId="2EDDD679" w14:textId="77777777" w:rsidR="00C2567D" w:rsidRPr="00C2567D" w:rsidRDefault="00C2567D" w:rsidP="002753A7">
            <w:pPr>
              <w:pStyle w:val="BodyText"/>
              <w:spacing w:line="218" w:lineRule="auto"/>
              <w:ind w:right="6"/>
              <w:rPr>
                <w:rFonts w:ascii="Calibri" w:hAnsi="Calibri" w:cs="Calibri"/>
                <w:spacing w:val="-2"/>
                <w:sz w:val="22"/>
                <w:szCs w:val="22"/>
              </w:rPr>
            </w:pPr>
            <w:r w:rsidRPr="00C2567D">
              <w:rPr>
                <w:rFonts w:ascii="Calibri" w:hAnsi="Calibri" w:cs="Calibri"/>
                <w:spacing w:val="-2"/>
                <w:sz w:val="22"/>
                <w:szCs w:val="22"/>
              </w:rPr>
              <w:t>One of the main aims of the strategy is to enable the London Borough of Harrow to become an Employer of Choice.</w:t>
            </w:r>
          </w:p>
          <w:p w14:paraId="0F79A412" w14:textId="77777777" w:rsidR="00C2567D" w:rsidRPr="00C2567D" w:rsidRDefault="00C2567D" w:rsidP="002753A7">
            <w:pPr>
              <w:pStyle w:val="BodyText"/>
              <w:spacing w:line="218" w:lineRule="auto"/>
              <w:ind w:right="6"/>
              <w:rPr>
                <w:rFonts w:ascii="Calibri" w:hAnsi="Calibri" w:cs="Calibri"/>
              </w:rPr>
            </w:pPr>
          </w:p>
          <w:p w14:paraId="4897FE49" w14:textId="0BB14154" w:rsidR="00C2567D" w:rsidRPr="00C2567D" w:rsidRDefault="00C2567D" w:rsidP="002753A7">
            <w:pPr>
              <w:rPr>
                <w:rFonts w:ascii="Calibri" w:hAnsi="Calibri" w:cs="Calibri"/>
                <w:w w:val="105"/>
              </w:rPr>
            </w:pPr>
            <w:r w:rsidRPr="00C2567D">
              <w:rPr>
                <w:rFonts w:ascii="Calibri" w:hAnsi="Calibri" w:cs="Calibri"/>
                <w:w w:val="105"/>
              </w:rPr>
              <w:t xml:space="preserve">The Workforce Strategy will provide guidance to Directorates in developing Workforce Action Plans, supported by HR Business Partners, which align with service operational plans and reflect future workforce priorities and needs. This approach will effectively integrate the strategy into the council’s daily operations. </w:t>
            </w:r>
          </w:p>
          <w:p w14:paraId="1825D609" w14:textId="28695A86" w:rsidR="00C2567D" w:rsidRPr="00C2567D" w:rsidRDefault="00C2567D" w:rsidP="002A1CE0">
            <w:pPr>
              <w:pStyle w:val="NoSpacing"/>
              <w:rPr>
                <w:rFonts w:ascii="Calibri" w:hAnsi="Calibri" w:cs="Calibri"/>
              </w:rPr>
            </w:pPr>
          </w:p>
        </w:tc>
        <w:tc>
          <w:tcPr>
            <w:tcW w:w="2126" w:type="dxa"/>
          </w:tcPr>
          <w:p w14:paraId="6D5973BD" w14:textId="194C1DF4" w:rsidR="00C2567D" w:rsidRDefault="00C2567D" w:rsidP="002A1CE0">
            <w:pPr>
              <w:pStyle w:val="NoSpacing"/>
            </w:pPr>
            <w:r>
              <w:t>Director of HR &amp; OD</w:t>
            </w:r>
          </w:p>
        </w:tc>
        <w:tc>
          <w:tcPr>
            <w:tcW w:w="2410" w:type="dxa"/>
          </w:tcPr>
          <w:p w14:paraId="1BBA0170" w14:textId="77777777" w:rsidR="00C2567D" w:rsidRDefault="00C2567D" w:rsidP="002A1CE0">
            <w:pPr>
              <w:pStyle w:val="NoSpacing"/>
            </w:pPr>
          </w:p>
        </w:tc>
      </w:tr>
      <w:tr w:rsidR="00C2567D" w14:paraId="72A86469" w14:textId="77777777" w:rsidTr="0034165B">
        <w:tc>
          <w:tcPr>
            <w:tcW w:w="690" w:type="dxa"/>
          </w:tcPr>
          <w:p w14:paraId="1746FCCA" w14:textId="75C10180" w:rsidR="00C2567D" w:rsidRPr="00B110FE" w:rsidRDefault="00C2567D" w:rsidP="002A1CE0">
            <w:pPr>
              <w:pStyle w:val="NoSpacing"/>
              <w:rPr>
                <w:b/>
                <w:bCs/>
              </w:rPr>
            </w:pPr>
            <w:r>
              <w:rPr>
                <w:b/>
                <w:bCs/>
              </w:rPr>
              <w:t>9b</w:t>
            </w:r>
          </w:p>
        </w:tc>
        <w:tc>
          <w:tcPr>
            <w:tcW w:w="3841" w:type="dxa"/>
          </w:tcPr>
          <w:p w14:paraId="195C8C47" w14:textId="6C3E5DCB" w:rsidR="00C2567D" w:rsidRPr="00BE02AC" w:rsidRDefault="00C2567D" w:rsidP="002A1CE0">
            <w:pPr>
              <w:pStyle w:val="NoSpacing"/>
              <w:rPr>
                <w:b/>
                <w:bCs/>
              </w:rPr>
            </w:pPr>
            <w:r w:rsidRPr="008E206D">
              <w:rPr>
                <w:color w:val="000000" w:themeColor="text1"/>
              </w:rPr>
              <w:t>LBH could also look to zone the council office by service area to enhance team working and support collaboration The council should discuss and agree with staff a set of expectations about when and why they should be in the office, informed by service need and job roles. Thereafter monitoring will be needed to ensure compliance is in line with the agreed approach.</w:t>
            </w:r>
          </w:p>
        </w:tc>
        <w:tc>
          <w:tcPr>
            <w:tcW w:w="5245" w:type="dxa"/>
          </w:tcPr>
          <w:p w14:paraId="1C1C3813" w14:textId="017FC8AA" w:rsidR="00C2567D" w:rsidRDefault="00C2567D" w:rsidP="002A1CE0">
            <w:pPr>
              <w:pStyle w:val="NoSpacing"/>
            </w:pPr>
            <w:r>
              <w:t>Hybrid working habits and expectations to be developed.</w:t>
            </w:r>
          </w:p>
          <w:p w14:paraId="19BCFA27" w14:textId="77777777" w:rsidR="00C2567D" w:rsidRDefault="00C2567D" w:rsidP="2C3B69C2"/>
          <w:p w14:paraId="4B767BC8" w14:textId="68D04A3D" w:rsidR="00C2567D" w:rsidRDefault="00C2567D" w:rsidP="2C3B69C2">
            <w:r>
              <w:t>Office zoning has been agreed.  Further discussion is required between colleagues in Place, Communications and HR around office zoning and staff engagement. To take forward:</w:t>
            </w:r>
            <w:r>
              <w:br/>
            </w:r>
          </w:p>
          <w:p w14:paraId="7A452261" w14:textId="653EC1D3" w:rsidR="00C2567D" w:rsidRDefault="00C2567D" w:rsidP="2C3B69C2">
            <w:r>
              <w:t>-  Assess office zoning feasibility based on building capacity constraints.</w:t>
            </w:r>
          </w:p>
          <w:p w14:paraId="35558564" w14:textId="10B8F8E2" w:rsidR="00C2567D" w:rsidRDefault="00C2567D" w:rsidP="2C3B69C2">
            <w:r>
              <w:t>- Encourage employee use of office space.</w:t>
            </w:r>
          </w:p>
          <w:p w14:paraId="787CA8FE" w14:textId="381E0F6C" w:rsidR="00C2567D" w:rsidRDefault="00C2567D" w:rsidP="2C3B69C2">
            <w:r>
              <w:t>- Establish a dedicated working group for execution.</w:t>
            </w:r>
          </w:p>
          <w:p w14:paraId="19BF0A9F" w14:textId="1B332FE1" w:rsidR="00C2567D" w:rsidRDefault="00C2567D" w:rsidP="2C3B69C2">
            <w:r>
              <w:t>- Refine hybrid work habits and promote agile methodologies.</w:t>
            </w:r>
          </w:p>
          <w:p w14:paraId="78C1F5CE" w14:textId="4D199632" w:rsidR="00C2567D" w:rsidRDefault="00C2567D" w:rsidP="2C3B69C2">
            <w:r>
              <w:t>- Collaborate with managers to empower employees.</w:t>
            </w:r>
          </w:p>
          <w:p w14:paraId="3838D71F" w14:textId="68E4ACD0" w:rsidR="00C2567D" w:rsidRDefault="00C2567D" w:rsidP="2C3B69C2">
            <w:r>
              <w:t>- Improve clarity in office zoning.</w:t>
            </w:r>
          </w:p>
          <w:p w14:paraId="604BC32E" w14:textId="4E16ECBF" w:rsidR="00C2567D" w:rsidRDefault="00C2567D" w:rsidP="2C3B69C2">
            <w:r>
              <w:t>- Maintain regular communication with staff.</w:t>
            </w:r>
          </w:p>
          <w:p w14:paraId="58B500C4" w14:textId="494B6C2C" w:rsidR="00C2567D" w:rsidRDefault="00C2567D" w:rsidP="2C3B69C2">
            <w:r>
              <w:t>- Review and integrate information for new employee onboarding.</w:t>
            </w:r>
          </w:p>
          <w:p w14:paraId="1EEE3CC9" w14:textId="6A7A6122" w:rsidR="00C2567D" w:rsidRDefault="00C2567D" w:rsidP="2C3B69C2">
            <w:r>
              <w:t xml:space="preserve"> </w:t>
            </w:r>
          </w:p>
        </w:tc>
        <w:tc>
          <w:tcPr>
            <w:tcW w:w="2126" w:type="dxa"/>
          </w:tcPr>
          <w:p w14:paraId="349EB7F9" w14:textId="5716C8DA" w:rsidR="00C2567D" w:rsidRDefault="00C2567D" w:rsidP="002A1CE0">
            <w:pPr>
              <w:pStyle w:val="NoSpacing"/>
            </w:pPr>
            <w:r>
              <w:t>Corporate Director, Place</w:t>
            </w:r>
          </w:p>
        </w:tc>
        <w:tc>
          <w:tcPr>
            <w:tcW w:w="2410" w:type="dxa"/>
          </w:tcPr>
          <w:p w14:paraId="480493D6" w14:textId="6D81B6AA" w:rsidR="00C2567D" w:rsidRDefault="00C2567D" w:rsidP="002A1CE0">
            <w:pPr>
              <w:pStyle w:val="NoSpacing"/>
            </w:pPr>
            <w:r>
              <w:t>Ongoing</w:t>
            </w:r>
          </w:p>
        </w:tc>
      </w:tr>
      <w:tr w:rsidR="00C2567D" w14:paraId="31F37DED" w14:textId="77777777" w:rsidTr="0034165B">
        <w:tc>
          <w:tcPr>
            <w:tcW w:w="690" w:type="dxa"/>
          </w:tcPr>
          <w:p w14:paraId="0E00B1FD" w14:textId="46CE0AC2" w:rsidR="00C2567D" w:rsidRPr="00B110FE" w:rsidRDefault="00C2567D" w:rsidP="002A1CE0">
            <w:pPr>
              <w:pStyle w:val="NoSpacing"/>
              <w:rPr>
                <w:b/>
                <w:bCs/>
              </w:rPr>
            </w:pPr>
            <w:r w:rsidRPr="00B110FE">
              <w:rPr>
                <w:b/>
                <w:bCs/>
              </w:rPr>
              <w:t>10</w:t>
            </w:r>
          </w:p>
        </w:tc>
        <w:tc>
          <w:tcPr>
            <w:tcW w:w="3841" w:type="dxa"/>
          </w:tcPr>
          <w:p w14:paraId="5AD77FEF" w14:textId="77777777" w:rsidR="00C2567D" w:rsidRPr="00BE02AC" w:rsidRDefault="00C2567D" w:rsidP="002A1CE0">
            <w:pPr>
              <w:pStyle w:val="NoSpacing"/>
              <w:rPr>
                <w:b/>
                <w:bCs/>
              </w:rPr>
            </w:pPr>
            <w:r w:rsidRPr="00BE02AC">
              <w:rPr>
                <w:b/>
                <w:bCs/>
              </w:rPr>
              <w:t>Member development</w:t>
            </w:r>
          </w:p>
          <w:p w14:paraId="6BD0ABF1" w14:textId="77777777" w:rsidR="00C2567D" w:rsidRDefault="00C2567D" w:rsidP="002A1CE0">
            <w:pPr>
              <w:pStyle w:val="NoSpacing"/>
            </w:pPr>
            <w:r>
              <w:t>The existing member training and development offer should be evaluated and in line with member feedback should be expanded, targeting key roles such as Cabinet members and committee chairs.</w:t>
            </w:r>
          </w:p>
          <w:p w14:paraId="4BB8ECA2" w14:textId="5210DBE4" w:rsidR="00061AF8" w:rsidRDefault="00061AF8" w:rsidP="002A1CE0">
            <w:pPr>
              <w:pStyle w:val="NoSpacing"/>
            </w:pPr>
          </w:p>
        </w:tc>
        <w:tc>
          <w:tcPr>
            <w:tcW w:w="5245" w:type="dxa"/>
          </w:tcPr>
          <w:p w14:paraId="29722266" w14:textId="0CA412FB" w:rsidR="00C2567D" w:rsidRDefault="00C2567D" w:rsidP="002A1CE0">
            <w:pPr>
              <w:pStyle w:val="NoSpacing"/>
            </w:pPr>
            <w:r>
              <w:t xml:space="preserve">Agreed that the offer will be evaluated with members surveyed regarding their requirements. Existing training offers have been advertised and promoted.  An application for charter status will be considered. </w:t>
            </w:r>
          </w:p>
          <w:p w14:paraId="243BF31A" w14:textId="4B864C5E" w:rsidR="00C2567D" w:rsidRDefault="00C2567D" w:rsidP="002A1CE0">
            <w:pPr>
              <w:pStyle w:val="NoSpacing"/>
            </w:pPr>
            <w:r>
              <w:br/>
              <w:t>Discussions ongoing around member development approaches.</w:t>
            </w:r>
          </w:p>
        </w:tc>
        <w:tc>
          <w:tcPr>
            <w:tcW w:w="2126" w:type="dxa"/>
          </w:tcPr>
          <w:p w14:paraId="7E718D9D" w14:textId="575CF550" w:rsidR="00C2567D" w:rsidRDefault="00C2567D" w:rsidP="002A1CE0">
            <w:pPr>
              <w:pStyle w:val="NoSpacing"/>
            </w:pPr>
            <w:r>
              <w:t>Director of Legal &amp; Governance</w:t>
            </w:r>
          </w:p>
        </w:tc>
        <w:tc>
          <w:tcPr>
            <w:tcW w:w="2410" w:type="dxa"/>
          </w:tcPr>
          <w:p w14:paraId="6552BB97" w14:textId="77777777" w:rsidR="00C2567D" w:rsidRDefault="00C2567D" w:rsidP="002A1CE0">
            <w:pPr>
              <w:pStyle w:val="NoSpacing"/>
            </w:pPr>
          </w:p>
        </w:tc>
      </w:tr>
      <w:tr w:rsidR="001E43F8" w14:paraId="1867C660" w14:textId="77777777" w:rsidTr="0034165B">
        <w:tc>
          <w:tcPr>
            <w:tcW w:w="690" w:type="dxa"/>
          </w:tcPr>
          <w:p w14:paraId="0E234EFA" w14:textId="0A9025FD" w:rsidR="001E43F8" w:rsidRPr="00B110FE" w:rsidRDefault="001E43F8" w:rsidP="001E43F8">
            <w:pPr>
              <w:pStyle w:val="NoSpacing"/>
              <w:rPr>
                <w:b/>
                <w:bCs/>
              </w:rPr>
            </w:pPr>
            <w:r w:rsidRPr="00B110FE">
              <w:rPr>
                <w:b/>
                <w:bCs/>
              </w:rPr>
              <w:t>11</w:t>
            </w:r>
          </w:p>
        </w:tc>
        <w:tc>
          <w:tcPr>
            <w:tcW w:w="3841" w:type="dxa"/>
          </w:tcPr>
          <w:p w14:paraId="570E03AC" w14:textId="77777777" w:rsidR="001E43F8" w:rsidRPr="00BE02AC" w:rsidRDefault="001E43F8" w:rsidP="001E43F8">
            <w:pPr>
              <w:pStyle w:val="NoSpacing"/>
              <w:rPr>
                <w:b/>
                <w:bCs/>
              </w:rPr>
            </w:pPr>
            <w:r w:rsidRPr="00BE02AC">
              <w:rPr>
                <w:b/>
                <w:bCs/>
              </w:rPr>
              <w:t>Governance</w:t>
            </w:r>
          </w:p>
          <w:p w14:paraId="7B999486" w14:textId="4FAFB021" w:rsidR="001E43F8" w:rsidRPr="00BE02AC" w:rsidRDefault="001E43F8" w:rsidP="001E43F8">
            <w:pPr>
              <w:pStyle w:val="NoSpacing"/>
              <w:rPr>
                <w:b/>
                <w:bCs/>
              </w:rPr>
            </w:pPr>
            <w:r>
              <w:t xml:space="preserve">The council’s schedule of meetings should be reviewed to allow for sufficient pre-decision engagement and the timely issuing of reports. </w:t>
            </w:r>
          </w:p>
        </w:tc>
        <w:tc>
          <w:tcPr>
            <w:tcW w:w="5245" w:type="dxa"/>
          </w:tcPr>
          <w:p w14:paraId="2204C93E" w14:textId="77777777" w:rsidR="001E43F8" w:rsidRDefault="001E43F8" w:rsidP="001E43F8">
            <w:pPr>
              <w:pStyle w:val="NoSpacing"/>
            </w:pPr>
            <w:r>
              <w:t>Work of this nature is under constant review.  The calendar has been reviewed in response to the peer review comments. A full schedule that allows time for engagement is available and timetabling allows for additional meetings should business needs require.  Special care has been taken with the calendar.</w:t>
            </w:r>
          </w:p>
          <w:p w14:paraId="2CA90E8A" w14:textId="77777777" w:rsidR="001E43F8" w:rsidRDefault="001E43F8" w:rsidP="001E43F8">
            <w:pPr>
              <w:pStyle w:val="NoSpacing"/>
            </w:pPr>
          </w:p>
          <w:p w14:paraId="6C9F94C1" w14:textId="77777777" w:rsidR="001E43F8" w:rsidRDefault="001E43F8" w:rsidP="001E43F8">
            <w:pPr>
              <w:pStyle w:val="NoSpacing"/>
            </w:pPr>
            <w:r>
              <w:t>Published schedule of meetings – no further action required.</w:t>
            </w:r>
          </w:p>
          <w:p w14:paraId="4DE3D25D" w14:textId="77777777" w:rsidR="001E43F8" w:rsidRDefault="001E43F8" w:rsidP="001E43F8">
            <w:pPr>
              <w:pStyle w:val="NoSpacing"/>
            </w:pPr>
          </w:p>
        </w:tc>
        <w:tc>
          <w:tcPr>
            <w:tcW w:w="2126" w:type="dxa"/>
          </w:tcPr>
          <w:p w14:paraId="380A1307" w14:textId="411A9B09" w:rsidR="001E43F8" w:rsidRDefault="001E43F8" w:rsidP="001E43F8">
            <w:pPr>
              <w:pStyle w:val="NoSpacing"/>
            </w:pPr>
            <w:r>
              <w:t>Director of Legal &amp; Governance</w:t>
            </w:r>
          </w:p>
        </w:tc>
        <w:tc>
          <w:tcPr>
            <w:tcW w:w="2410" w:type="dxa"/>
          </w:tcPr>
          <w:p w14:paraId="7588B3D4" w14:textId="34BA89E7" w:rsidR="001E43F8" w:rsidRDefault="001E43F8" w:rsidP="001E43F8">
            <w:pPr>
              <w:pStyle w:val="NoSpacing"/>
            </w:pPr>
            <w:r>
              <w:t>No further action needed</w:t>
            </w:r>
          </w:p>
        </w:tc>
      </w:tr>
      <w:tr w:rsidR="00357176" w14:paraId="45824FA5" w14:textId="77777777" w:rsidTr="0034165B">
        <w:tc>
          <w:tcPr>
            <w:tcW w:w="690" w:type="dxa"/>
          </w:tcPr>
          <w:p w14:paraId="726D336D" w14:textId="057A731C" w:rsidR="00357176" w:rsidRPr="00B110FE" w:rsidRDefault="00357176" w:rsidP="00357176">
            <w:pPr>
              <w:pStyle w:val="NoSpacing"/>
              <w:rPr>
                <w:b/>
                <w:bCs/>
              </w:rPr>
            </w:pPr>
            <w:r w:rsidRPr="00B110FE">
              <w:rPr>
                <w:b/>
                <w:bCs/>
              </w:rPr>
              <w:t>12</w:t>
            </w:r>
          </w:p>
        </w:tc>
        <w:tc>
          <w:tcPr>
            <w:tcW w:w="3841" w:type="dxa"/>
          </w:tcPr>
          <w:p w14:paraId="459EAC33" w14:textId="77777777" w:rsidR="00357176" w:rsidRPr="00BE02AC" w:rsidRDefault="00357176" w:rsidP="00357176">
            <w:pPr>
              <w:pStyle w:val="NoSpacing"/>
              <w:rPr>
                <w:b/>
                <w:bCs/>
              </w:rPr>
            </w:pPr>
            <w:r w:rsidRPr="00BE02AC">
              <w:rPr>
                <w:b/>
                <w:bCs/>
              </w:rPr>
              <w:t>Commissioning</w:t>
            </w:r>
          </w:p>
          <w:p w14:paraId="625AC007" w14:textId="7340EEC0" w:rsidR="00357176" w:rsidRPr="00BE02AC" w:rsidRDefault="00357176" w:rsidP="00357176">
            <w:pPr>
              <w:pStyle w:val="NoSpacing"/>
              <w:rPr>
                <w:b/>
                <w:bCs/>
              </w:rPr>
            </w:pPr>
            <w:r>
              <w:t>The council should develop a long-term commissioning strategy and implementation plan. Longer term planning is needed in areas such as extra care housing and leisure provision.</w:t>
            </w:r>
          </w:p>
        </w:tc>
        <w:tc>
          <w:tcPr>
            <w:tcW w:w="5245" w:type="dxa"/>
          </w:tcPr>
          <w:p w14:paraId="1D142DDE" w14:textId="77777777" w:rsidR="00357176" w:rsidRDefault="00357176" w:rsidP="00357176">
            <w:pPr>
              <w:pStyle w:val="NoSpacing"/>
            </w:pPr>
            <w:r>
              <w:t xml:space="preserve">Within People Services Commissioning and Strategy there is a continuously developing Commissioning function responding and planning for demographic changes and demand for services, developing partnership arrangements with Health and the VCS, implementing Government policy </w:t>
            </w:r>
            <w:proofErr w:type="gramStart"/>
            <w:r>
              <w:t>changes</w:t>
            </w:r>
            <w:proofErr w:type="gramEnd"/>
            <w:r>
              <w:t xml:space="preserve"> and continually seeking to increase the efficient use of resources.  There is a mixed approach to service delivery including commissioned services, spot purchasing, in-house and decommissioning where appropriate. Market position statement in place, and a refresh of the People Services commissioning plan is in progress.</w:t>
            </w:r>
          </w:p>
          <w:p w14:paraId="2A3069B4" w14:textId="77777777" w:rsidR="00357176" w:rsidRDefault="00357176" w:rsidP="00357176">
            <w:pPr>
              <w:pStyle w:val="NoSpacing"/>
            </w:pPr>
          </w:p>
          <w:p w14:paraId="1E53DFE1" w14:textId="77777777" w:rsidR="00357176" w:rsidRDefault="00357176" w:rsidP="00357176">
            <w:pPr>
              <w:pStyle w:val="NoSpacing"/>
            </w:pPr>
            <w:r>
              <w:t xml:space="preserve">A Housing needs assessment has been completed with Public Health and Housing and Adult Social Care colleagues. A plan with </w:t>
            </w:r>
            <w:proofErr w:type="gramStart"/>
            <w:r>
              <w:t>short, medium and long term</w:t>
            </w:r>
            <w:proofErr w:type="gramEnd"/>
            <w:r>
              <w:t xml:space="preserve"> objectives is being developed. This includes considering the future extra care </w:t>
            </w:r>
            <w:proofErr w:type="gramStart"/>
            <w:r>
              <w:t>strategy, once</w:t>
            </w:r>
            <w:proofErr w:type="gramEnd"/>
            <w:r>
              <w:t xml:space="preserve"> the next facility opens during Spring 2024. </w:t>
            </w:r>
          </w:p>
          <w:p w14:paraId="4E85A7E1" w14:textId="77777777" w:rsidR="00357176" w:rsidRDefault="00357176" w:rsidP="00357176">
            <w:pPr>
              <w:pStyle w:val="NoSpacing"/>
            </w:pPr>
          </w:p>
        </w:tc>
        <w:tc>
          <w:tcPr>
            <w:tcW w:w="2126" w:type="dxa"/>
          </w:tcPr>
          <w:p w14:paraId="78864CAF" w14:textId="12C08B24" w:rsidR="00357176" w:rsidRDefault="00357176" w:rsidP="00357176">
            <w:pPr>
              <w:pStyle w:val="NoSpacing"/>
            </w:pPr>
            <w:r>
              <w:t>Corporate Director, People</w:t>
            </w:r>
          </w:p>
        </w:tc>
        <w:tc>
          <w:tcPr>
            <w:tcW w:w="2410" w:type="dxa"/>
          </w:tcPr>
          <w:p w14:paraId="5338CFA2" w14:textId="77777777" w:rsidR="00357176" w:rsidRDefault="00357176" w:rsidP="00357176">
            <w:pPr>
              <w:pStyle w:val="NoSpacing"/>
            </w:pPr>
          </w:p>
        </w:tc>
      </w:tr>
      <w:tr w:rsidR="00357176" w14:paraId="18EE0A2A" w14:textId="77777777" w:rsidTr="0034165B">
        <w:tc>
          <w:tcPr>
            <w:tcW w:w="690" w:type="dxa"/>
          </w:tcPr>
          <w:p w14:paraId="318AA5A2" w14:textId="64D7E713" w:rsidR="00357176" w:rsidRPr="00B110FE" w:rsidRDefault="00357176" w:rsidP="00357176">
            <w:pPr>
              <w:pStyle w:val="NoSpacing"/>
              <w:rPr>
                <w:b/>
                <w:bCs/>
              </w:rPr>
            </w:pPr>
            <w:r w:rsidRPr="00B110FE">
              <w:rPr>
                <w:b/>
                <w:bCs/>
              </w:rPr>
              <w:t>13</w:t>
            </w:r>
          </w:p>
        </w:tc>
        <w:tc>
          <w:tcPr>
            <w:tcW w:w="3841" w:type="dxa"/>
          </w:tcPr>
          <w:p w14:paraId="49C8A5AF" w14:textId="77777777" w:rsidR="00357176" w:rsidRPr="00BE02AC" w:rsidRDefault="00357176" w:rsidP="00357176">
            <w:pPr>
              <w:pStyle w:val="NoSpacing"/>
              <w:rPr>
                <w:b/>
                <w:bCs/>
              </w:rPr>
            </w:pPr>
            <w:r w:rsidRPr="00BE02AC">
              <w:rPr>
                <w:b/>
                <w:bCs/>
              </w:rPr>
              <w:t>Health partnerships</w:t>
            </w:r>
          </w:p>
          <w:p w14:paraId="2F00F7B1" w14:textId="318905FD" w:rsidR="00357176" w:rsidRPr="00BE02AC" w:rsidRDefault="00357176" w:rsidP="00357176">
            <w:pPr>
              <w:pStyle w:val="NoSpacing"/>
              <w:rPr>
                <w:b/>
                <w:bCs/>
              </w:rPr>
            </w:pPr>
            <w:r>
              <w:t>Build on the strong relationships established locally and the role the council plays in the borough partnership. The council should look to be more influential across the ICS footprint to make sure Harrow residents get their fair share of resources</w:t>
            </w:r>
          </w:p>
        </w:tc>
        <w:tc>
          <w:tcPr>
            <w:tcW w:w="5245" w:type="dxa"/>
          </w:tcPr>
          <w:p w14:paraId="70B78576" w14:textId="77777777" w:rsidR="00357176" w:rsidRDefault="00357176" w:rsidP="00357176">
            <w:pPr>
              <w:pStyle w:val="NoSpacing"/>
            </w:pPr>
            <w:r>
              <w:t>Harrow’s Managing Director is the local authority lead for all 8 boroughs on the Integrated Care Board, making him a strong representative for Harrow and he will be leading on the community health services review and the Better Care Fund.</w:t>
            </w:r>
          </w:p>
          <w:p w14:paraId="4B87F5CE" w14:textId="77777777" w:rsidR="00357176" w:rsidRDefault="00357176" w:rsidP="00357176">
            <w:pPr>
              <w:pStyle w:val="NoSpacing"/>
            </w:pPr>
          </w:p>
          <w:p w14:paraId="39EDB614" w14:textId="77777777" w:rsidR="00357176" w:rsidRPr="00E77B3A" w:rsidRDefault="00357176" w:rsidP="00357176">
            <w:pPr>
              <w:pStyle w:val="NoSpacing"/>
            </w:pPr>
            <w:r>
              <w:t>As part of the wider transformation in People Directorate (Children’s Services and Adults’ Social Care), we are currently working to:</w:t>
            </w:r>
          </w:p>
          <w:p w14:paraId="6F6EF9B9" w14:textId="77777777" w:rsidR="00357176" w:rsidRPr="00E77B3A" w:rsidRDefault="00357176" w:rsidP="00357176">
            <w:pPr>
              <w:pStyle w:val="NoSpacing"/>
              <w:numPr>
                <w:ilvl w:val="0"/>
                <w:numId w:val="6"/>
              </w:numPr>
              <w:rPr>
                <w:rFonts w:ascii="Calibri" w:eastAsia="Calibri" w:hAnsi="Calibri" w:cs="Calibri"/>
              </w:rPr>
            </w:pPr>
            <w:r w:rsidRPr="00E77B3A">
              <w:rPr>
                <w:rFonts w:ascii="Calibri" w:eastAsia="Calibri" w:hAnsi="Calibri" w:cs="Calibri"/>
              </w:rPr>
              <w:t>Establish the leadership teams for our integrated neighbourhood teams, drawn from clinical and professional teams and local communities.</w:t>
            </w:r>
          </w:p>
          <w:p w14:paraId="0F6F33F5" w14:textId="77777777" w:rsidR="00357176" w:rsidRPr="00E77B3A" w:rsidRDefault="00357176" w:rsidP="00357176">
            <w:pPr>
              <w:pStyle w:val="NoSpacing"/>
              <w:numPr>
                <w:ilvl w:val="0"/>
                <w:numId w:val="6"/>
              </w:numPr>
              <w:rPr>
                <w:rFonts w:ascii="Calibri" w:eastAsia="Calibri" w:hAnsi="Calibri" w:cs="Calibri"/>
              </w:rPr>
            </w:pPr>
            <w:r w:rsidRPr="00E77B3A">
              <w:rPr>
                <w:rFonts w:ascii="Calibri" w:eastAsia="Calibri" w:hAnsi="Calibri" w:cs="Calibri"/>
              </w:rPr>
              <w:t>Finalise the services forming the core integrated neighbourhood teams and confirm the associated workforce.</w:t>
            </w:r>
          </w:p>
          <w:p w14:paraId="3828FA52" w14:textId="77777777" w:rsidR="00357176" w:rsidRPr="00E77B3A" w:rsidRDefault="00357176" w:rsidP="00357176">
            <w:pPr>
              <w:pStyle w:val="NoSpacing"/>
              <w:numPr>
                <w:ilvl w:val="0"/>
                <w:numId w:val="6"/>
              </w:numPr>
              <w:rPr>
                <w:rFonts w:ascii="Calibri" w:eastAsia="Calibri" w:hAnsi="Calibri" w:cs="Calibri"/>
              </w:rPr>
            </w:pPr>
            <w:r w:rsidRPr="00E77B3A">
              <w:rPr>
                <w:rFonts w:ascii="Calibri" w:eastAsia="Calibri" w:hAnsi="Calibri" w:cs="Calibri"/>
              </w:rPr>
              <w:t>Design with local teams a development programme that will support to work together in new ways.</w:t>
            </w:r>
          </w:p>
          <w:p w14:paraId="1717FE19" w14:textId="77777777" w:rsidR="00357176" w:rsidRDefault="00357176" w:rsidP="00357176">
            <w:pPr>
              <w:pStyle w:val="NoSpacing"/>
              <w:numPr>
                <w:ilvl w:val="0"/>
                <w:numId w:val="6"/>
              </w:numPr>
              <w:rPr>
                <w:sz w:val="21"/>
                <w:szCs w:val="21"/>
              </w:rPr>
            </w:pPr>
            <w:r w:rsidRPr="00E77B3A">
              <w:rPr>
                <w:rFonts w:ascii="Calibri" w:eastAsia="Calibri" w:hAnsi="Calibri" w:cs="Calibri"/>
              </w:rPr>
              <w:t xml:space="preserve">Various joint </w:t>
            </w:r>
            <w:r>
              <w:rPr>
                <w:rFonts w:ascii="Calibri" w:eastAsia="Calibri" w:hAnsi="Calibri" w:cs="Calibri"/>
              </w:rPr>
              <w:t>f</w:t>
            </w:r>
            <w:r w:rsidRPr="00E77B3A">
              <w:rPr>
                <w:rFonts w:ascii="Calibri" w:eastAsia="Calibri" w:hAnsi="Calibri" w:cs="Calibri"/>
              </w:rPr>
              <w:t>ocus groups, service development workshops have been held and will continue to do so.</w:t>
            </w:r>
          </w:p>
          <w:p w14:paraId="532B11D9" w14:textId="77777777" w:rsidR="00357176" w:rsidRDefault="00357176" w:rsidP="00357176">
            <w:pPr>
              <w:pStyle w:val="NoSpacing"/>
            </w:pPr>
          </w:p>
        </w:tc>
        <w:tc>
          <w:tcPr>
            <w:tcW w:w="2126" w:type="dxa"/>
          </w:tcPr>
          <w:p w14:paraId="365895CA" w14:textId="0E7BC48D" w:rsidR="00357176" w:rsidRDefault="00357176" w:rsidP="00357176">
            <w:pPr>
              <w:pStyle w:val="NoSpacing"/>
            </w:pPr>
            <w:r>
              <w:t>Corporate Director, People</w:t>
            </w:r>
          </w:p>
        </w:tc>
        <w:tc>
          <w:tcPr>
            <w:tcW w:w="2410" w:type="dxa"/>
          </w:tcPr>
          <w:p w14:paraId="7F7725B2" w14:textId="77777777" w:rsidR="00357176" w:rsidRDefault="00357176" w:rsidP="00357176">
            <w:pPr>
              <w:pStyle w:val="NoSpacing"/>
            </w:pPr>
          </w:p>
        </w:tc>
      </w:tr>
    </w:tbl>
    <w:p w14:paraId="3BA8599B" w14:textId="083AB48E" w:rsidR="001D1D5C" w:rsidRDefault="001D1D5C"/>
    <w:sectPr w:rsidR="001D1D5C" w:rsidSect="005569AA">
      <w:headerReference w:type="default" r:id="rId11"/>
      <w:footerReference w:type="default" r:id="rId12"/>
      <w:pgSz w:w="16838" w:h="11906" w:orient="landscape"/>
      <w:pgMar w:top="1134" w:right="1134" w:bottom="1134" w:left="1134" w:header="641" w:footer="1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6701" w14:textId="77777777" w:rsidR="00374425" w:rsidRDefault="00374425" w:rsidP="006D3647">
      <w:pPr>
        <w:spacing w:after="0" w:line="240" w:lineRule="auto"/>
      </w:pPr>
      <w:r>
        <w:separator/>
      </w:r>
    </w:p>
  </w:endnote>
  <w:endnote w:type="continuationSeparator" w:id="0">
    <w:p w14:paraId="22330BA8" w14:textId="77777777" w:rsidR="00374425" w:rsidRDefault="00374425" w:rsidP="006D3647">
      <w:pPr>
        <w:spacing w:after="0" w:line="240" w:lineRule="auto"/>
      </w:pPr>
      <w:r>
        <w:continuationSeparator/>
      </w:r>
    </w:p>
  </w:endnote>
  <w:endnote w:type="continuationNotice" w:id="1">
    <w:p w14:paraId="59CA7C8E" w14:textId="77777777" w:rsidR="00374425" w:rsidRDefault="00374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wis721 BT">
    <w:altName w:val="Calibri"/>
    <w:charset w:val="00"/>
    <w:family w:val="swiss"/>
    <w:pitch w:val="variable"/>
    <w:sig w:usb0="800000AF" w:usb1="10002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7FC4047" w14:paraId="2D3FFE2C" w14:textId="77777777" w:rsidTr="77FC4047">
      <w:trPr>
        <w:trHeight w:val="300"/>
      </w:trPr>
      <w:tc>
        <w:tcPr>
          <w:tcW w:w="4650" w:type="dxa"/>
        </w:tcPr>
        <w:p w14:paraId="688E600A" w14:textId="6A13715F" w:rsidR="77FC4047" w:rsidRDefault="77FC4047" w:rsidP="77FC4047">
          <w:pPr>
            <w:pStyle w:val="Header"/>
            <w:ind w:left="-115"/>
          </w:pPr>
        </w:p>
      </w:tc>
      <w:tc>
        <w:tcPr>
          <w:tcW w:w="4650" w:type="dxa"/>
        </w:tcPr>
        <w:p w14:paraId="2FD4016F" w14:textId="0C661068" w:rsidR="77FC4047" w:rsidRDefault="77FC4047" w:rsidP="77FC4047">
          <w:pPr>
            <w:pStyle w:val="Header"/>
            <w:jc w:val="center"/>
          </w:pPr>
        </w:p>
      </w:tc>
      <w:tc>
        <w:tcPr>
          <w:tcW w:w="4650" w:type="dxa"/>
        </w:tcPr>
        <w:p w14:paraId="7EAA74B0" w14:textId="45A3F523" w:rsidR="77FC4047" w:rsidRDefault="77FC4047" w:rsidP="77FC4047">
          <w:pPr>
            <w:pStyle w:val="Header"/>
            <w:ind w:right="-115"/>
            <w:jc w:val="right"/>
          </w:pPr>
        </w:p>
      </w:tc>
    </w:tr>
  </w:tbl>
  <w:p w14:paraId="2D94C2B9" w14:textId="65624CF9" w:rsidR="77FC4047" w:rsidRDefault="77FC4047" w:rsidP="77FC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7C4F" w14:textId="77777777" w:rsidR="00374425" w:rsidRDefault="00374425" w:rsidP="006D3647">
      <w:pPr>
        <w:spacing w:after="0" w:line="240" w:lineRule="auto"/>
      </w:pPr>
      <w:r>
        <w:separator/>
      </w:r>
    </w:p>
  </w:footnote>
  <w:footnote w:type="continuationSeparator" w:id="0">
    <w:p w14:paraId="2E0F53C6" w14:textId="77777777" w:rsidR="00374425" w:rsidRDefault="00374425" w:rsidP="006D3647">
      <w:pPr>
        <w:spacing w:after="0" w:line="240" w:lineRule="auto"/>
      </w:pPr>
      <w:r>
        <w:continuationSeparator/>
      </w:r>
    </w:p>
  </w:footnote>
  <w:footnote w:type="continuationNotice" w:id="1">
    <w:p w14:paraId="2C6E23FF" w14:textId="77777777" w:rsidR="00374425" w:rsidRDefault="003744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CDBE" w14:textId="5A3DCD8E" w:rsidR="00DC3584" w:rsidRDefault="005569AA">
    <w:pPr>
      <w:pStyle w:val="Header"/>
    </w:pPr>
    <w:r>
      <w:rPr>
        <w:noProof/>
        <w:color w:val="2B579A"/>
        <w:shd w:val="clear" w:color="auto" w:fill="E6E6E6"/>
      </w:rPr>
      <w:drawing>
        <wp:anchor distT="0" distB="0" distL="0" distR="0" simplePos="0" relativeHeight="251656704" behindDoc="1" locked="0" layoutInCell="1" allowOverlap="1" wp14:anchorId="52145796" wp14:editId="79A37278">
          <wp:simplePos x="0" y="0"/>
          <wp:positionH relativeFrom="margin">
            <wp:posOffset>6644640</wp:posOffset>
          </wp:positionH>
          <wp:positionV relativeFrom="topMargin">
            <wp:posOffset>454379</wp:posOffset>
          </wp:positionV>
          <wp:extent cx="2491332" cy="631874"/>
          <wp:effectExtent l="0" t="0" r="4445" b="0"/>
          <wp:wrapTight wrapText="bothSides">
            <wp:wrapPolygon edited="0">
              <wp:start x="0" y="0"/>
              <wp:lineTo x="0" y="20840"/>
              <wp:lineTo x="21473" y="20840"/>
              <wp:lineTo x="214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2491332" cy="631874"/>
                  </a:xfrm>
                  <a:prstGeom prst="rect">
                    <a:avLst/>
                  </a:prstGeom>
                </pic:spPr>
              </pic:pic>
            </a:graphicData>
          </a:graphic>
        </wp:anchor>
      </w:drawing>
    </w:r>
    <w:r w:rsidR="00CF086D">
      <w:rPr>
        <w:noProof/>
        <w:color w:val="2B579A"/>
        <w:shd w:val="clear" w:color="auto" w:fill="E6E6E6"/>
      </w:rPr>
      <mc:AlternateContent>
        <mc:Choice Requires="wps">
          <w:drawing>
            <wp:anchor distT="0" distB="0" distL="114300" distR="114300" simplePos="0" relativeHeight="251657728" behindDoc="1" locked="0" layoutInCell="1" allowOverlap="1" wp14:anchorId="6F960AA5" wp14:editId="3E2957F1">
              <wp:simplePos x="0" y="0"/>
              <wp:positionH relativeFrom="margin">
                <wp:posOffset>-18415</wp:posOffset>
              </wp:positionH>
              <wp:positionV relativeFrom="topMargin">
                <wp:align>bottom</wp:align>
              </wp:positionV>
              <wp:extent cx="2407920" cy="314960"/>
              <wp:effectExtent l="0" t="0" r="11430" b="8890"/>
              <wp:wrapTight wrapText="bothSides">
                <wp:wrapPolygon edited="0">
                  <wp:start x="0" y="0"/>
                  <wp:lineTo x="0" y="20903"/>
                  <wp:lineTo x="21532" y="20903"/>
                  <wp:lineTo x="2153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79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5D17" w14:textId="77777777" w:rsidR="00836F84" w:rsidRDefault="00836F84" w:rsidP="00836F84">
                          <w:pPr>
                            <w:spacing w:before="20"/>
                            <w:ind w:left="20"/>
                            <w:rPr>
                              <w:rFonts w:ascii="Swis721 BT"/>
                              <w:i/>
                              <w:sz w:val="38"/>
                            </w:rPr>
                          </w:pPr>
                          <w:r>
                            <w:rPr>
                              <w:rFonts w:ascii="Swis721 BT"/>
                              <w:i/>
                              <w:color w:val="939598"/>
                              <w:sz w:val="38"/>
                            </w:rPr>
                            <w:t>Putting</w:t>
                          </w:r>
                          <w:r>
                            <w:rPr>
                              <w:rFonts w:ascii="Swis721 BT"/>
                              <w:i/>
                              <w:color w:val="939598"/>
                              <w:spacing w:val="-3"/>
                              <w:sz w:val="38"/>
                            </w:rPr>
                            <w:t xml:space="preserve"> </w:t>
                          </w:r>
                          <w:r>
                            <w:rPr>
                              <w:rFonts w:ascii="Swis721 BT"/>
                              <w:i/>
                              <w:color w:val="939598"/>
                              <w:sz w:val="38"/>
                            </w:rPr>
                            <w:t>Residents</w:t>
                          </w:r>
                          <w:r>
                            <w:rPr>
                              <w:rFonts w:ascii="Swis721 BT"/>
                              <w:i/>
                              <w:color w:val="939598"/>
                              <w:spacing w:val="-3"/>
                              <w:sz w:val="38"/>
                            </w:rPr>
                            <w:t xml:space="preserve"> </w:t>
                          </w:r>
                          <w:r>
                            <w:rPr>
                              <w:rFonts w:ascii="Swis721 BT"/>
                              <w:i/>
                              <w:color w:val="939598"/>
                              <w:spacing w:val="-2"/>
                              <w:sz w:val="38"/>
                            </w:rP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F960AA5">
              <v:stroke joinstyle="miter"/>
              <v:path gradientshapeok="t" o:connecttype="rect"/>
            </v:shapetype>
            <v:shape id="Text Box 12" style="position:absolute;margin-left:-1.45pt;margin-top:0;width:189.6pt;height:24.8pt;z-index:-251658752;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">
              <v:path arrowok="t"/>
              <v:textbox inset="0,0,0,0">
                <w:txbxContent>
                  <w:p w:rsidR="00836F84" w:rsidP="00836F84" w:rsidRDefault="00836F84" w14:paraId="02D95D17" w14:textId="77777777">
                    <w:pPr>
                      <w:spacing w:before="20"/>
                      <w:ind w:left="20"/>
                      <w:rPr>
                        <w:rFonts w:ascii="Swis721 BT"/>
                        <w:i/>
                        <w:sz w:val="38"/>
                      </w:rPr>
                    </w:pPr>
                    <w:r>
                      <w:rPr>
                        <w:rFonts w:ascii="Swis721 BT"/>
                        <w:i/>
                        <w:color w:val="939598"/>
                        <w:sz w:val="38"/>
                      </w:rPr>
                      <w:t>Putting</w:t>
                    </w:r>
                    <w:r>
                      <w:rPr>
                        <w:rFonts w:ascii="Swis721 BT"/>
                        <w:i/>
                        <w:color w:val="939598"/>
                        <w:spacing w:val="-3"/>
                        <w:sz w:val="38"/>
                      </w:rPr>
                      <w:t xml:space="preserve"> </w:t>
                    </w:r>
                    <w:r>
                      <w:rPr>
                        <w:rFonts w:ascii="Swis721 BT"/>
                        <w:i/>
                        <w:color w:val="939598"/>
                        <w:sz w:val="38"/>
                      </w:rPr>
                      <w:t>Residents</w:t>
                    </w:r>
                    <w:r>
                      <w:rPr>
                        <w:rFonts w:ascii="Swis721 BT"/>
                        <w:i/>
                        <w:color w:val="939598"/>
                        <w:spacing w:val="-3"/>
                        <w:sz w:val="38"/>
                      </w:rPr>
                      <w:t xml:space="preserve"> </w:t>
                    </w:r>
                    <w:r>
                      <w:rPr>
                        <w:rFonts w:ascii="Swis721 BT"/>
                        <w:i/>
                        <w:color w:val="939598"/>
                        <w:spacing w:val="-2"/>
                        <w:sz w:val="38"/>
                      </w:rPr>
                      <w:t>First</w:t>
                    </w:r>
                  </w:p>
                </w:txbxContent>
              </v:textbox>
              <w10:wrap type="tight" anchorx="margin" anchory="margin"/>
            </v:shape>
          </w:pict>
        </mc:Fallback>
      </mc:AlternateContent>
    </w:r>
  </w:p>
  <w:p w14:paraId="5B7EB71A" w14:textId="61325869" w:rsidR="006D3647" w:rsidRDefault="006D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6C0"/>
    <w:multiLevelType w:val="hybridMultilevel"/>
    <w:tmpl w:val="BC48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96A9D"/>
    <w:multiLevelType w:val="hybridMultilevel"/>
    <w:tmpl w:val="1F06B4E6"/>
    <w:lvl w:ilvl="0" w:tplc="9CBC5E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27CFAD89"/>
    <w:multiLevelType w:val="hybridMultilevel"/>
    <w:tmpl w:val="55CABC6E"/>
    <w:lvl w:ilvl="0" w:tplc="6F5EF4D2">
      <w:start w:val="1"/>
      <w:numFmt w:val="bullet"/>
      <w:lvlText w:val="-"/>
      <w:lvlJc w:val="left"/>
      <w:pPr>
        <w:ind w:left="720" w:hanging="360"/>
      </w:pPr>
      <w:rPr>
        <w:rFonts w:ascii="Calibri" w:hAnsi="Calibri" w:hint="default"/>
      </w:rPr>
    </w:lvl>
    <w:lvl w:ilvl="1" w:tplc="AEA8092E">
      <w:start w:val="1"/>
      <w:numFmt w:val="bullet"/>
      <w:lvlText w:val="o"/>
      <w:lvlJc w:val="left"/>
      <w:pPr>
        <w:ind w:left="1440" w:hanging="360"/>
      </w:pPr>
      <w:rPr>
        <w:rFonts w:ascii="Courier New" w:hAnsi="Courier New" w:hint="default"/>
      </w:rPr>
    </w:lvl>
    <w:lvl w:ilvl="2" w:tplc="834C844E">
      <w:start w:val="1"/>
      <w:numFmt w:val="bullet"/>
      <w:lvlText w:val=""/>
      <w:lvlJc w:val="left"/>
      <w:pPr>
        <w:ind w:left="2160" w:hanging="360"/>
      </w:pPr>
      <w:rPr>
        <w:rFonts w:ascii="Wingdings" w:hAnsi="Wingdings" w:hint="default"/>
      </w:rPr>
    </w:lvl>
    <w:lvl w:ilvl="3" w:tplc="44D02E36">
      <w:start w:val="1"/>
      <w:numFmt w:val="bullet"/>
      <w:lvlText w:val=""/>
      <w:lvlJc w:val="left"/>
      <w:pPr>
        <w:ind w:left="2880" w:hanging="360"/>
      </w:pPr>
      <w:rPr>
        <w:rFonts w:ascii="Symbol" w:hAnsi="Symbol" w:hint="default"/>
      </w:rPr>
    </w:lvl>
    <w:lvl w:ilvl="4" w:tplc="3FD09F78">
      <w:start w:val="1"/>
      <w:numFmt w:val="bullet"/>
      <w:lvlText w:val="o"/>
      <w:lvlJc w:val="left"/>
      <w:pPr>
        <w:ind w:left="3600" w:hanging="360"/>
      </w:pPr>
      <w:rPr>
        <w:rFonts w:ascii="Courier New" w:hAnsi="Courier New" w:hint="default"/>
      </w:rPr>
    </w:lvl>
    <w:lvl w:ilvl="5" w:tplc="35125D20">
      <w:start w:val="1"/>
      <w:numFmt w:val="bullet"/>
      <w:lvlText w:val=""/>
      <w:lvlJc w:val="left"/>
      <w:pPr>
        <w:ind w:left="4320" w:hanging="360"/>
      </w:pPr>
      <w:rPr>
        <w:rFonts w:ascii="Wingdings" w:hAnsi="Wingdings" w:hint="default"/>
      </w:rPr>
    </w:lvl>
    <w:lvl w:ilvl="6" w:tplc="FAEA9D08">
      <w:start w:val="1"/>
      <w:numFmt w:val="bullet"/>
      <w:lvlText w:val=""/>
      <w:lvlJc w:val="left"/>
      <w:pPr>
        <w:ind w:left="5040" w:hanging="360"/>
      </w:pPr>
      <w:rPr>
        <w:rFonts w:ascii="Symbol" w:hAnsi="Symbol" w:hint="default"/>
      </w:rPr>
    </w:lvl>
    <w:lvl w:ilvl="7" w:tplc="B1C2F72A">
      <w:start w:val="1"/>
      <w:numFmt w:val="bullet"/>
      <w:lvlText w:val="o"/>
      <w:lvlJc w:val="left"/>
      <w:pPr>
        <w:ind w:left="5760" w:hanging="360"/>
      </w:pPr>
      <w:rPr>
        <w:rFonts w:ascii="Courier New" w:hAnsi="Courier New" w:hint="default"/>
      </w:rPr>
    </w:lvl>
    <w:lvl w:ilvl="8" w:tplc="8C96C816">
      <w:start w:val="1"/>
      <w:numFmt w:val="bullet"/>
      <w:lvlText w:val=""/>
      <w:lvlJc w:val="left"/>
      <w:pPr>
        <w:ind w:left="6480" w:hanging="360"/>
      </w:pPr>
      <w:rPr>
        <w:rFonts w:ascii="Wingdings" w:hAnsi="Wingdings" w:hint="default"/>
      </w:rPr>
    </w:lvl>
  </w:abstractNum>
  <w:abstractNum w:abstractNumId="3" w15:restartNumberingAfterBreak="0">
    <w:nsid w:val="32CAFCB6"/>
    <w:multiLevelType w:val="hybridMultilevel"/>
    <w:tmpl w:val="E8E089B6"/>
    <w:lvl w:ilvl="0" w:tplc="71206416">
      <w:start w:val="1"/>
      <w:numFmt w:val="bullet"/>
      <w:lvlText w:val="-"/>
      <w:lvlJc w:val="left"/>
      <w:pPr>
        <w:ind w:left="720" w:hanging="360"/>
      </w:pPr>
      <w:rPr>
        <w:rFonts w:ascii="Calibri" w:hAnsi="Calibri" w:hint="default"/>
      </w:rPr>
    </w:lvl>
    <w:lvl w:ilvl="1" w:tplc="1A521694">
      <w:start w:val="1"/>
      <w:numFmt w:val="bullet"/>
      <w:lvlText w:val="o"/>
      <w:lvlJc w:val="left"/>
      <w:pPr>
        <w:ind w:left="1440" w:hanging="360"/>
      </w:pPr>
      <w:rPr>
        <w:rFonts w:ascii="Courier New" w:hAnsi="Courier New" w:hint="default"/>
      </w:rPr>
    </w:lvl>
    <w:lvl w:ilvl="2" w:tplc="821E3AD2">
      <w:start w:val="1"/>
      <w:numFmt w:val="bullet"/>
      <w:lvlText w:val=""/>
      <w:lvlJc w:val="left"/>
      <w:pPr>
        <w:ind w:left="2160" w:hanging="360"/>
      </w:pPr>
      <w:rPr>
        <w:rFonts w:ascii="Wingdings" w:hAnsi="Wingdings" w:hint="default"/>
      </w:rPr>
    </w:lvl>
    <w:lvl w:ilvl="3" w:tplc="E6A25ECC">
      <w:start w:val="1"/>
      <w:numFmt w:val="bullet"/>
      <w:lvlText w:val=""/>
      <w:lvlJc w:val="left"/>
      <w:pPr>
        <w:ind w:left="2880" w:hanging="360"/>
      </w:pPr>
      <w:rPr>
        <w:rFonts w:ascii="Symbol" w:hAnsi="Symbol" w:hint="default"/>
      </w:rPr>
    </w:lvl>
    <w:lvl w:ilvl="4" w:tplc="4C8ACBBA">
      <w:start w:val="1"/>
      <w:numFmt w:val="bullet"/>
      <w:lvlText w:val="o"/>
      <w:lvlJc w:val="left"/>
      <w:pPr>
        <w:ind w:left="3600" w:hanging="360"/>
      </w:pPr>
      <w:rPr>
        <w:rFonts w:ascii="Courier New" w:hAnsi="Courier New" w:hint="default"/>
      </w:rPr>
    </w:lvl>
    <w:lvl w:ilvl="5" w:tplc="345886E4">
      <w:start w:val="1"/>
      <w:numFmt w:val="bullet"/>
      <w:lvlText w:val=""/>
      <w:lvlJc w:val="left"/>
      <w:pPr>
        <w:ind w:left="4320" w:hanging="360"/>
      </w:pPr>
      <w:rPr>
        <w:rFonts w:ascii="Wingdings" w:hAnsi="Wingdings" w:hint="default"/>
      </w:rPr>
    </w:lvl>
    <w:lvl w:ilvl="6" w:tplc="7EA02462">
      <w:start w:val="1"/>
      <w:numFmt w:val="bullet"/>
      <w:lvlText w:val=""/>
      <w:lvlJc w:val="left"/>
      <w:pPr>
        <w:ind w:left="5040" w:hanging="360"/>
      </w:pPr>
      <w:rPr>
        <w:rFonts w:ascii="Symbol" w:hAnsi="Symbol" w:hint="default"/>
      </w:rPr>
    </w:lvl>
    <w:lvl w:ilvl="7" w:tplc="218EAD64">
      <w:start w:val="1"/>
      <w:numFmt w:val="bullet"/>
      <w:lvlText w:val="o"/>
      <w:lvlJc w:val="left"/>
      <w:pPr>
        <w:ind w:left="5760" w:hanging="360"/>
      </w:pPr>
      <w:rPr>
        <w:rFonts w:ascii="Courier New" w:hAnsi="Courier New" w:hint="default"/>
      </w:rPr>
    </w:lvl>
    <w:lvl w:ilvl="8" w:tplc="785E4A18">
      <w:start w:val="1"/>
      <w:numFmt w:val="bullet"/>
      <w:lvlText w:val=""/>
      <w:lvlJc w:val="left"/>
      <w:pPr>
        <w:ind w:left="6480" w:hanging="360"/>
      </w:pPr>
      <w:rPr>
        <w:rFonts w:ascii="Wingdings" w:hAnsi="Wingdings" w:hint="default"/>
      </w:rPr>
    </w:lvl>
  </w:abstractNum>
  <w:abstractNum w:abstractNumId="4" w15:restartNumberingAfterBreak="0">
    <w:nsid w:val="370ED4E4"/>
    <w:multiLevelType w:val="hybridMultilevel"/>
    <w:tmpl w:val="D7F0CEB4"/>
    <w:lvl w:ilvl="0" w:tplc="50E4A424">
      <w:start w:val="1"/>
      <w:numFmt w:val="bullet"/>
      <w:lvlText w:val="-"/>
      <w:lvlJc w:val="left"/>
      <w:pPr>
        <w:ind w:left="720" w:hanging="360"/>
      </w:pPr>
      <w:rPr>
        <w:rFonts w:ascii="Calibri" w:hAnsi="Calibri" w:hint="default"/>
      </w:rPr>
    </w:lvl>
    <w:lvl w:ilvl="1" w:tplc="72B03EF0">
      <w:start w:val="1"/>
      <w:numFmt w:val="bullet"/>
      <w:lvlText w:val="o"/>
      <w:lvlJc w:val="left"/>
      <w:pPr>
        <w:ind w:left="1440" w:hanging="360"/>
      </w:pPr>
      <w:rPr>
        <w:rFonts w:ascii="Courier New" w:hAnsi="Courier New" w:hint="default"/>
      </w:rPr>
    </w:lvl>
    <w:lvl w:ilvl="2" w:tplc="E3082702">
      <w:start w:val="1"/>
      <w:numFmt w:val="bullet"/>
      <w:lvlText w:val=""/>
      <w:lvlJc w:val="left"/>
      <w:pPr>
        <w:ind w:left="2160" w:hanging="360"/>
      </w:pPr>
      <w:rPr>
        <w:rFonts w:ascii="Wingdings" w:hAnsi="Wingdings" w:hint="default"/>
      </w:rPr>
    </w:lvl>
    <w:lvl w:ilvl="3" w:tplc="F756336C">
      <w:start w:val="1"/>
      <w:numFmt w:val="bullet"/>
      <w:lvlText w:val=""/>
      <w:lvlJc w:val="left"/>
      <w:pPr>
        <w:ind w:left="2880" w:hanging="360"/>
      </w:pPr>
      <w:rPr>
        <w:rFonts w:ascii="Symbol" w:hAnsi="Symbol" w:hint="default"/>
      </w:rPr>
    </w:lvl>
    <w:lvl w:ilvl="4" w:tplc="1924F2BA">
      <w:start w:val="1"/>
      <w:numFmt w:val="bullet"/>
      <w:lvlText w:val="o"/>
      <w:lvlJc w:val="left"/>
      <w:pPr>
        <w:ind w:left="3600" w:hanging="360"/>
      </w:pPr>
      <w:rPr>
        <w:rFonts w:ascii="Courier New" w:hAnsi="Courier New" w:hint="default"/>
      </w:rPr>
    </w:lvl>
    <w:lvl w:ilvl="5" w:tplc="4EE4FE16">
      <w:start w:val="1"/>
      <w:numFmt w:val="bullet"/>
      <w:lvlText w:val=""/>
      <w:lvlJc w:val="left"/>
      <w:pPr>
        <w:ind w:left="4320" w:hanging="360"/>
      </w:pPr>
      <w:rPr>
        <w:rFonts w:ascii="Wingdings" w:hAnsi="Wingdings" w:hint="default"/>
      </w:rPr>
    </w:lvl>
    <w:lvl w:ilvl="6" w:tplc="483231DC">
      <w:start w:val="1"/>
      <w:numFmt w:val="bullet"/>
      <w:lvlText w:val=""/>
      <w:lvlJc w:val="left"/>
      <w:pPr>
        <w:ind w:left="5040" w:hanging="360"/>
      </w:pPr>
      <w:rPr>
        <w:rFonts w:ascii="Symbol" w:hAnsi="Symbol" w:hint="default"/>
      </w:rPr>
    </w:lvl>
    <w:lvl w:ilvl="7" w:tplc="4162AB00">
      <w:start w:val="1"/>
      <w:numFmt w:val="bullet"/>
      <w:lvlText w:val="o"/>
      <w:lvlJc w:val="left"/>
      <w:pPr>
        <w:ind w:left="5760" w:hanging="360"/>
      </w:pPr>
      <w:rPr>
        <w:rFonts w:ascii="Courier New" w:hAnsi="Courier New" w:hint="default"/>
      </w:rPr>
    </w:lvl>
    <w:lvl w:ilvl="8" w:tplc="C9822E08">
      <w:start w:val="1"/>
      <w:numFmt w:val="bullet"/>
      <w:lvlText w:val=""/>
      <w:lvlJc w:val="left"/>
      <w:pPr>
        <w:ind w:left="6480" w:hanging="360"/>
      </w:pPr>
      <w:rPr>
        <w:rFonts w:ascii="Wingdings" w:hAnsi="Wingdings" w:hint="default"/>
      </w:rPr>
    </w:lvl>
  </w:abstractNum>
  <w:abstractNum w:abstractNumId="5" w15:restartNumberingAfterBreak="0">
    <w:nsid w:val="6CD85A49"/>
    <w:multiLevelType w:val="hybridMultilevel"/>
    <w:tmpl w:val="C192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728141">
    <w:abstractNumId w:val="2"/>
  </w:num>
  <w:num w:numId="2" w16cid:durableId="476921641">
    <w:abstractNumId w:val="4"/>
  </w:num>
  <w:num w:numId="3" w16cid:durableId="782727768">
    <w:abstractNumId w:val="3"/>
  </w:num>
  <w:num w:numId="4" w16cid:durableId="1104614953">
    <w:abstractNumId w:val="1"/>
  </w:num>
  <w:num w:numId="5" w16cid:durableId="1635524971">
    <w:abstractNumId w:val="5"/>
  </w:num>
  <w:num w:numId="6" w16cid:durableId="110816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E0"/>
    <w:rsid w:val="000123AC"/>
    <w:rsid w:val="00015514"/>
    <w:rsid w:val="000158A7"/>
    <w:rsid w:val="00016AAB"/>
    <w:rsid w:val="00022014"/>
    <w:rsid w:val="00024A76"/>
    <w:rsid w:val="0002630B"/>
    <w:rsid w:val="0002742A"/>
    <w:rsid w:val="00032DB3"/>
    <w:rsid w:val="0003521D"/>
    <w:rsid w:val="00054287"/>
    <w:rsid w:val="00061AF8"/>
    <w:rsid w:val="00066146"/>
    <w:rsid w:val="00072ABE"/>
    <w:rsid w:val="000758BD"/>
    <w:rsid w:val="0008024D"/>
    <w:rsid w:val="000A0E4C"/>
    <w:rsid w:val="000A2DB6"/>
    <w:rsid w:val="000B1C74"/>
    <w:rsid w:val="000C074F"/>
    <w:rsid w:val="000D56F0"/>
    <w:rsid w:val="000D7CEA"/>
    <w:rsid w:val="000EE035"/>
    <w:rsid w:val="000F190D"/>
    <w:rsid w:val="000F1B27"/>
    <w:rsid w:val="000F41D7"/>
    <w:rsid w:val="00103B63"/>
    <w:rsid w:val="00132473"/>
    <w:rsid w:val="00133F00"/>
    <w:rsid w:val="00134EC9"/>
    <w:rsid w:val="001437ED"/>
    <w:rsid w:val="00156807"/>
    <w:rsid w:val="00160A8A"/>
    <w:rsid w:val="00164702"/>
    <w:rsid w:val="0016531A"/>
    <w:rsid w:val="001800E1"/>
    <w:rsid w:val="001836BD"/>
    <w:rsid w:val="00186C63"/>
    <w:rsid w:val="001A0CC5"/>
    <w:rsid w:val="001A2DE7"/>
    <w:rsid w:val="001B1B45"/>
    <w:rsid w:val="001B25B2"/>
    <w:rsid w:val="001B5AD9"/>
    <w:rsid w:val="001B70B7"/>
    <w:rsid w:val="001C7F8C"/>
    <w:rsid w:val="001D1D5C"/>
    <w:rsid w:val="001D1F9B"/>
    <w:rsid w:val="001E19E0"/>
    <w:rsid w:val="001E43F8"/>
    <w:rsid w:val="001F5AC0"/>
    <w:rsid w:val="001F7D18"/>
    <w:rsid w:val="0020070C"/>
    <w:rsid w:val="0021087B"/>
    <w:rsid w:val="00210A93"/>
    <w:rsid w:val="0021104C"/>
    <w:rsid w:val="002203DF"/>
    <w:rsid w:val="00221BF2"/>
    <w:rsid w:val="002234CB"/>
    <w:rsid w:val="0024478F"/>
    <w:rsid w:val="002476E3"/>
    <w:rsid w:val="002507F0"/>
    <w:rsid w:val="00266349"/>
    <w:rsid w:val="00274EC9"/>
    <w:rsid w:val="002753A7"/>
    <w:rsid w:val="00293E6F"/>
    <w:rsid w:val="00297D6E"/>
    <w:rsid w:val="002A0148"/>
    <w:rsid w:val="002A1CE0"/>
    <w:rsid w:val="002A60F7"/>
    <w:rsid w:val="002B7A67"/>
    <w:rsid w:val="002C138F"/>
    <w:rsid w:val="0031022C"/>
    <w:rsid w:val="00312B6C"/>
    <w:rsid w:val="003272AF"/>
    <w:rsid w:val="0034165B"/>
    <w:rsid w:val="00344072"/>
    <w:rsid w:val="00347272"/>
    <w:rsid w:val="003566C3"/>
    <w:rsid w:val="00357176"/>
    <w:rsid w:val="00362173"/>
    <w:rsid w:val="00362750"/>
    <w:rsid w:val="0036391F"/>
    <w:rsid w:val="00365ED7"/>
    <w:rsid w:val="00370709"/>
    <w:rsid w:val="00373A00"/>
    <w:rsid w:val="00374425"/>
    <w:rsid w:val="00374C34"/>
    <w:rsid w:val="0037570B"/>
    <w:rsid w:val="003A3E2D"/>
    <w:rsid w:val="003C069A"/>
    <w:rsid w:val="003C3614"/>
    <w:rsid w:val="004024BF"/>
    <w:rsid w:val="00405E06"/>
    <w:rsid w:val="004171F1"/>
    <w:rsid w:val="004464A3"/>
    <w:rsid w:val="004520AE"/>
    <w:rsid w:val="004555BB"/>
    <w:rsid w:val="004622EF"/>
    <w:rsid w:val="00463D24"/>
    <w:rsid w:val="00484343"/>
    <w:rsid w:val="00484395"/>
    <w:rsid w:val="00492319"/>
    <w:rsid w:val="004A1783"/>
    <w:rsid w:val="004A47AC"/>
    <w:rsid w:val="004B13FC"/>
    <w:rsid w:val="004C3128"/>
    <w:rsid w:val="004C387B"/>
    <w:rsid w:val="004D1A7C"/>
    <w:rsid w:val="004E2268"/>
    <w:rsid w:val="004F66DE"/>
    <w:rsid w:val="0051117E"/>
    <w:rsid w:val="00531CB2"/>
    <w:rsid w:val="00543775"/>
    <w:rsid w:val="0055388A"/>
    <w:rsid w:val="005569AA"/>
    <w:rsid w:val="00575D48"/>
    <w:rsid w:val="00583925"/>
    <w:rsid w:val="00586F19"/>
    <w:rsid w:val="00591310"/>
    <w:rsid w:val="00594ADB"/>
    <w:rsid w:val="005B309C"/>
    <w:rsid w:val="005B3791"/>
    <w:rsid w:val="005D02E9"/>
    <w:rsid w:val="005E12B6"/>
    <w:rsid w:val="00600C47"/>
    <w:rsid w:val="00602A4B"/>
    <w:rsid w:val="00612669"/>
    <w:rsid w:val="006205BD"/>
    <w:rsid w:val="0063214F"/>
    <w:rsid w:val="00636504"/>
    <w:rsid w:val="00637A51"/>
    <w:rsid w:val="00637CFC"/>
    <w:rsid w:val="00655292"/>
    <w:rsid w:val="006620F1"/>
    <w:rsid w:val="00666709"/>
    <w:rsid w:val="006703F6"/>
    <w:rsid w:val="006769BD"/>
    <w:rsid w:val="006938D0"/>
    <w:rsid w:val="006B10E8"/>
    <w:rsid w:val="006B2D46"/>
    <w:rsid w:val="006C0089"/>
    <w:rsid w:val="006C71D5"/>
    <w:rsid w:val="006D3647"/>
    <w:rsid w:val="006D7BCE"/>
    <w:rsid w:val="006E1BF1"/>
    <w:rsid w:val="006E3C85"/>
    <w:rsid w:val="006E47AC"/>
    <w:rsid w:val="006F542F"/>
    <w:rsid w:val="007139CF"/>
    <w:rsid w:val="00724B1F"/>
    <w:rsid w:val="00737F2F"/>
    <w:rsid w:val="00740EC3"/>
    <w:rsid w:val="007546EB"/>
    <w:rsid w:val="00771691"/>
    <w:rsid w:val="00773CBB"/>
    <w:rsid w:val="007804FD"/>
    <w:rsid w:val="0078300B"/>
    <w:rsid w:val="00790105"/>
    <w:rsid w:val="00791E6B"/>
    <w:rsid w:val="007B2126"/>
    <w:rsid w:val="007D05AF"/>
    <w:rsid w:val="007D52C6"/>
    <w:rsid w:val="007F46C9"/>
    <w:rsid w:val="007F700E"/>
    <w:rsid w:val="00802177"/>
    <w:rsid w:val="008023D5"/>
    <w:rsid w:val="00803F2C"/>
    <w:rsid w:val="00810D6E"/>
    <w:rsid w:val="00812500"/>
    <w:rsid w:val="0082604B"/>
    <w:rsid w:val="00836F84"/>
    <w:rsid w:val="00842EFD"/>
    <w:rsid w:val="00847F41"/>
    <w:rsid w:val="0085011F"/>
    <w:rsid w:val="00857452"/>
    <w:rsid w:val="00876E0A"/>
    <w:rsid w:val="00880F2C"/>
    <w:rsid w:val="0089144D"/>
    <w:rsid w:val="008B5176"/>
    <w:rsid w:val="008E206D"/>
    <w:rsid w:val="009043D0"/>
    <w:rsid w:val="00904D97"/>
    <w:rsid w:val="00911130"/>
    <w:rsid w:val="00925955"/>
    <w:rsid w:val="00932E18"/>
    <w:rsid w:val="00940A05"/>
    <w:rsid w:val="0094595B"/>
    <w:rsid w:val="00947250"/>
    <w:rsid w:val="009518CF"/>
    <w:rsid w:val="00964DFD"/>
    <w:rsid w:val="0097498B"/>
    <w:rsid w:val="00992944"/>
    <w:rsid w:val="00995327"/>
    <w:rsid w:val="009953F4"/>
    <w:rsid w:val="009AA7B9"/>
    <w:rsid w:val="009B6518"/>
    <w:rsid w:val="009B7953"/>
    <w:rsid w:val="009D5BF2"/>
    <w:rsid w:val="009D6AB0"/>
    <w:rsid w:val="009D7CB6"/>
    <w:rsid w:val="009E3D42"/>
    <w:rsid w:val="00A018CC"/>
    <w:rsid w:val="00A0778F"/>
    <w:rsid w:val="00A10EF9"/>
    <w:rsid w:val="00A206B4"/>
    <w:rsid w:val="00A25E38"/>
    <w:rsid w:val="00A37A93"/>
    <w:rsid w:val="00A60183"/>
    <w:rsid w:val="00A622EB"/>
    <w:rsid w:val="00A67A65"/>
    <w:rsid w:val="00A7275C"/>
    <w:rsid w:val="00A76ECF"/>
    <w:rsid w:val="00A81B6A"/>
    <w:rsid w:val="00A85A18"/>
    <w:rsid w:val="00A86C42"/>
    <w:rsid w:val="00AA40D8"/>
    <w:rsid w:val="00AC6B44"/>
    <w:rsid w:val="00AD4B35"/>
    <w:rsid w:val="00AE0110"/>
    <w:rsid w:val="00AF2F91"/>
    <w:rsid w:val="00AF3504"/>
    <w:rsid w:val="00B033D7"/>
    <w:rsid w:val="00B0354C"/>
    <w:rsid w:val="00B03CAB"/>
    <w:rsid w:val="00B10BB7"/>
    <w:rsid w:val="00B110FE"/>
    <w:rsid w:val="00B42F48"/>
    <w:rsid w:val="00B4308D"/>
    <w:rsid w:val="00B468FD"/>
    <w:rsid w:val="00B67BE7"/>
    <w:rsid w:val="00B820F7"/>
    <w:rsid w:val="00B82D3C"/>
    <w:rsid w:val="00B85582"/>
    <w:rsid w:val="00B87E17"/>
    <w:rsid w:val="00B92404"/>
    <w:rsid w:val="00BA3F29"/>
    <w:rsid w:val="00BB35AF"/>
    <w:rsid w:val="00BB50B7"/>
    <w:rsid w:val="00BB5D4A"/>
    <w:rsid w:val="00BC0F57"/>
    <w:rsid w:val="00BC4810"/>
    <w:rsid w:val="00BC65E8"/>
    <w:rsid w:val="00BD1E56"/>
    <w:rsid w:val="00BD5A41"/>
    <w:rsid w:val="00BE02AC"/>
    <w:rsid w:val="00BE05C8"/>
    <w:rsid w:val="00BE28F5"/>
    <w:rsid w:val="00BF55DA"/>
    <w:rsid w:val="00BF746F"/>
    <w:rsid w:val="00C008EE"/>
    <w:rsid w:val="00C02F86"/>
    <w:rsid w:val="00C0377D"/>
    <w:rsid w:val="00C05E94"/>
    <w:rsid w:val="00C075A8"/>
    <w:rsid w:val="00C07800"/>
    <w:rsid w:val="00C078C4"/>
    <w:rsid w:val="00C13DB8"/>
    <w:rsid w:val="00C2567D"/>
    <w:rsid w:val="00C27B46"/>
    <w:rsid w:val="00C33279"/>
    <w:rsid w:val="00C37590"/>
    <w:rsid w:val="00C46EB4"/>
    <w:rsid w:val="00C51CB0"/>
    <w:rsid w:val="00C575FF"/>
    <w:rsid w:val="00C64489"/>
    <w:rsid w:val="00C663AA"/>
    <w:rsid w:val="00C7081F"/>
    <w:rsid w:val="00C74D70"/>
    <w:rsid w:val="00C756FD"/>
    <w:rsid w:val="00C82838"/>
    <w:rsid w:val="00C854A5"/>
    <w:rsid w:val="00CA06DB"/>
    <w:rsid w:val="00CA3FBE"/>
    <w:rsid w:val="00CB1B08"/>
    <w:rsid w:val="00CC3F90"/>
    <w:rsid w:val="00CD2A05"/>
    <w:rsid w:val="00CD709E"/>
    <w:rsid w:val="00CF0052"/>
    <w:rsid w:val="00CF086D"/>
    <w:rsid w:val="00D02B06"/>
    <w:rsid w:val="00D07776"/>
    <w:rsid w:val="00D1400A"/>
    <w:rsid w:val="00D37AEF"/>
    <w:rsid w:val="00D37CD0"/>
    <w:rsid w:val="00D411FB"/>
    <w:rsid w:val="00D45237"/>
    <w:rsid w:val="00D5196A"/>
    <w:rsid w:val="00D63479"/>
    <w:rsid w:val="00D72652"/>
    <w:rsid w:val="00D74349"/>
    <w:rsid w:val="00D9264A"/>
    <w:rsid w:val="00D96F02"/>
    <w:rsid w:val="00DA020B"/>
    <w:rsid w:val="00DA65B4"/>
    <w:rsid w:val="00DB187D"/>
    <w:rsid w:val="00DB41EF"/>
    <w:rsid w:val="00DB5477"/>
    <w:rsid w:val="00DC1292"/>
    <w:rsid w:val="00DC3584"/>
    <w:rsid w:val="00DC3F63"/>
    <w:rsid w:val="00DC6C9F"/>
    <w:rsid w:val="00E057BE"/>
    <w:rsid w:val="00E1094F"/>
    <w:rsid w:val="00E12B35"/>
    <w:rsid w:val="00E45A3B"/>
    <w:rsid w:val="00E60316"/>
    <w:rsid w:val="00E71A96"/>
    <w:rsid w:val="00E77B3A"/>
    <w:rsid w:val="00E933F1"/>
    <w:rsid w:val="00E93745"/>
    <w:rsid w:val="00E95038"/>
    <w:rsid w:val="00EA5E98"/>
    <w:rsid w:val="00EC4AEF"/>
    <w:rsid w:val="00ED4F4B"/>
    <w:rsid w:val="00ED6DCC"/>
    <w:rsid w:val="00EE150F"/>
    <w:rsid w:val="00EE341E"/>
    <w:rsid w:val="00EE50C6"/>
    <w:rsid w:val="00EF5ADC"/>
    <w:rsid w:val="00EF603A"/>
    <w:rsid w:val="00EF767E"/>
    <w:rsid w:val="00F13362"/>
    <w:rsid w:val="00F35DC0"/>
    <w:rsid w:val="00F378B4"/>
    <w:rsid w:val="00F46AAD"/>
    <w:rsid w:val="00F53439"/>
    <w:rsid w:val="00F54E9B"/>
    <w:rsid w:val="00F63D22"/>
    <w:rsid w:val="00F815BB"/>
    <w:rsid w:val="00F82A82"/>
    <w:rsid w:val="00F83B72"/>
    <w:rsid w:val="00F948E1"/>
    <w:rsid w:val="00FA21F0"/>
    <w:rsid w:val="00FC3717"/>
    <w:rsid w:val="00FD5ACB"/>
    <w:rsid w:val="00FE3D4B"/>
    <w:rsid w:val="00FF0D25"/>
    <w:rsid w:val="01006978"/>
    <w:rsid w:val="02474A74"/>
    <w:rsid w:val="030EBEBE"/>
    <w:rsid w:val="038C3792"/>
    <w:rsid w:val="03E253A2"/>
    <w:rsid w:val="04B17A8C"/>
    <w:rsid w:val="04B9246C"/>
    <w:rsid w:val="04C80A44"/>
    <w:rsid w:val="059F7AA7"/>
    <w:rsid w:val="05A4935F"/>
    <w:rsid w:val="05DCAF84"/>
    <w:rsid w:val="05F0D043"/>
    <w:rsid w:val="068A277F"/>
    <w:rsid w:val="06C3D854"/>
    <w:rsid w:val="06F35BA4"/>
    <w:rsid w:val="085FB0B0"/>
    <w:rsid w:val="0909E65A"/>
    <w:rsid w:val="09808FB5"/>
    <w:rsid w:val="09ACCA57"/>
    <w:rsid w:val="0A263C64"/>
    <w:rsid w:val="0AAFEEEF"/>
    <w:rsid w:val="0D55FAC0"/>
    <w:rsid w:val="0D890B4E"/>
    <w:rsid w:val="0DAC05D8"/>
    <w:rsid w:val="0DFD73FC"/>
    <w:rsid w:val="0EB4510F"/>
    <w:rsid w:val="0EE4C4A7"/>
    <w:rsid w:val="0F629E91"/>
    <w:rsid w:val="10FE6EF2"/>
    <w:rsid w:val="11064852"/>
    <w:rsid w:val="112AD978"/>
    <w:rsid w:val="11553641"/>
    <w:rsid w:val="119A102C"/>
    <w:rsid w:val="11C2F462"/>
    <w:rsid w:val="12B0B18E"/>
    <w:rsid w:val="13337999"/>
    <w:rsid w:val="13437C64"/>
    <w:rsid w:val="145A5A90"/>
    <w:rsid w:val="14AF97B0"/>
    <w:rsid w:val="1743BD7C"/>
    <w:rsid w:val="175A7E57"/>
    <w:rsid w:val="1789F3BD"/>
    <w:rsid w:val="183697E7"/>
    <w:rsid w:val="1974858F"/>
    <w:rsid w:val="1A4DDC8F"/>
    <w:rsid w:val="1B3E8B7E"/>
    <w:rsid w:val="1B5D5197"/>
    <w:rsid w:val="1C27FCC4"/>
    <w:rsid w:val="1CEC6391"/>
    <w:rsid w:val="1E07919C"/>
    <w:rsid w:val="1E79C9AE"/>
    <w:rsid w:val="1EC515AA"/>
    <w:rsid w:val="2112858C"/>
    <w:rsid w:val="2125E29E"/>
    <w:rsid w:val="213D8BBD"/>
    <w:rsid w:val="215117CA"/>
    <w:rsid w:val="21A4D103"/>
    <w:rsid w:val="22F7495B"/>
    <w:rsid w:val="234D3AD1"/>
    <w:rsid w:val="24BDE7B8"/>
    <w:rsid w:val="24E90B32"/>
    <w:rsid w:val="251E5AE1"/>
    <w:rsid w:val="25729800"/>
    <w:rsid w:val="257A906C"/>
    <w:rsid w:val="25AFD43A"/>
    <w:rsid w:val="25D00B25"/>
    <w:rsid w:val="26092F92"/>
    <w:rsid w:val="268B451C"/>
    <w:rsid w:val="278F5C79"/>
    <w:rsid w:val="29F30F07"/>
    <w:rsid w:val="2AB68DEA"/>
    <w:rsid w:val="2BB1FC3C"/>
    <w:rsid w:val="2C3B69C2"/>
    <w:rsid w:val="2C5A9508"/>
    <w:rsid w:val="2D9DED69"/>
    <w:rsid w:val="2DA35AD1"/>
    <w:rsid w:val="2E41E988"/>
    <w:rsid w:val="2F38B512"/>
    <w:rsid w:val="2F3F2B32"/>
    <w:rsid w:val="30D48573"/>
    <w:rsid w:val="311016A8"/>
    <w:rsid w:val="32AE8E2D"/>
    <w:rsid w:val="3331DD1D"/>
    <w:rsid w:val="34A025E5"/>
    <w:rsid w:val="353A67AF"/>
    <w:rsid w:val="355638BD"/>
    <w:rsid w:val="369978D5"/>
    <w:rsid w:val="36A2ECE3"/>
    <w:rsid w:val="36BF99E2"/>
    <w:rsid w:val="36D90243"/>
    <w:rsid w:val="372C79B1"/>
    <w:rsid w:val="39F73AA4"/>
    <w:rsid w:val="3A57493F"/>
    <w:rsid w:val="3A89CB5F"/>
    <w:rsid w:val="3AE28A64"/>
    <w:rsid w:val="3B930B05"/>
    <w:rsid w:val="3BB316DB"/>
    <w:rsid w:val="3BFA508D"/>
    <w:rsid w:val="3C135E45"/>
    <w:rsid w:val="3C5D5DF9"/>
    <w:rsid w:val="3D477E16"/>
    <w:rsid w:val="3D9BBB35"/>
    <w:rsid w:val="3DF92E5A"/>
    <w:rsid w:val="3E3412F5"/>
    <w:rsid w:val="3F3F1084"/>
    <w:rsid w:val="3F4A9D68"/>
    <w:rsid w:val="40068577"/>
    <w:rsid w:val="41075534"/>
    <w:rsid w:val="418F1391"/>
    <w:rsid w:val="420192FD"/>
    <w:rsid w:val="42CC9F7D"/>
    <w:rsid w:val="42DE13F0"/>
    <w:rsid w:val="42E0B8E2"/>
    <w:rsid w:val="43978273"/>
    <w:rsid w:val="43A70813"/>
    <w:rsid w:val="45D974D1"/>
    <w:rsid w:val="4604403F"/>
    <w:rsid w:val="46ADD7A2"/>
    <w:rsid w:val="46D537FF"/>
    <w:rsid w:val="47E39A56"/>
    <w:rsid w:val="48F91B16"/>
    <w:rsid w:val="492F6E7E"/>
    <w:rsid w:val="4A2A3D3E"/>
    <w:rsid w:val="4A650128"/>
    <w:rsid w:val="4AF3845C"/>
    <w:rsid w:val="4C0CB9B2"/>
    <w:rsid w:val="4C176906"/>
    <w:rsid w:val="4CBD51C3"/>
    <w:rsid w:val="4CE3BF7C"/>
    <w:rsid w:val="4CFB8A75"/>
    <w:rsid w:val="4D1B36C5"/>
    <w:rsid w:val="4D1D65FC"/>
    <w:rsid w:val="4EB845EC"/>
    <w:rsid w:val="4F99F519"/>
    <w:rsid w:val="4F9DFFEE"/>
    <w:rsid w:val="50766D62"/>
    <w:rsid w:val="509F3CCF"/>
    <w:rsid w:val="515970D6"/>
    <w:rsid w:val="5185EFF5"/>
    <w:rsid w:val="52C3842F"/>
    <w:rsid w:val="53FFF639"/>
    <w:rsid w:val="54031478"/>
    <w:rsid w:val="54867F9C"/>
    <w:rsid w:val="5553E8BD"/>
    <w:rsid w:val="5603C624"/>
    <w:rsid w:val="560908D7"/>
    <w:rsid w:val="571BE114"/>
    <w:rsid w:val="57277C23"/>
    <w:rsid w:val="573AB53A"/>
    <w:rsid w:val="58F6253D"/>
    <w:rsid w:val="59B603DF"/>
    <w:rsid w:val="59F4DD28"/>
    <w:rsid w:val="5AA129C8"/>
    <w:rsid w:val="5AAE4EC6"/>
    <w:rsid w:val="5AE1BBD9"/>
    <w:rsid w:val="5AF1ED6C"/>
    <w:rsid w:val="5BA18970"/>
    <w:rsid w:val="5BBC1E78"/>
    <w:rsid w:val="5BE3B821"/>
    <w:rsid w:val="5C5833CB"/>
    <w:rsid w:val="5C85CBA2"/>
    <w:rsid w:val="5C996782"/>
    <w:rsid w:val="5E477E5F"/>
    <w:rsid w:val="5ED2E781"/>
    <w:rsid w:val="5F645C34"/>
    <w:rsid w:val="5F7BEF89"/>
    <w:rsid w:val="5FD97B77"/>
    <w:rsid w:val="60E390B9"/>
    <w:rsid w:val="627F611A"/>
    <w:rsid w:val="63480963"/>
    <w:rsid w:val="643A8FA3"/>
    <w:rsid w:val="6444E63A"/>
    <w:rsid w:val="64AE14C3"/>
    <w:rsid w:val="662D8DD8"/>
    <w:rsid w:val="677274E7"/>
    <w:rsid w:val="67CE7F0D"/>
    <w:rsid w:val="67DA4368"/>
    <w:rsid w:val="688DCA6D"/>
    <w:rsid w:val="68DAB1B3"/>
    <w:rsid w:val="6B7D3CCB"/>
    <w:rsid w:val="6D914CE3"/>
    <w:rsid w:val="6DCCE858"/>
    <w:rsid w:val="6F0C6339"/>
    <w:rsid w:val="71448E4F"/>
    <w:rsid w:val="71A0A688"/>
    <w:rsid w:val="732ECA48"/>
    <w:rsid w:val="73AB286E"/>
    <w:rsid w:val="73B92F78"/>
    <w:rsid w:val="74C78EF9"/>
    <w:rsid w:val="755B222E"/>
    <w:rsid w:val="76A62FBA"/>
    <w:rsid w:val="76DC6655"/>
    <w:rsid w:val="773BD674"/>
    <w:rsid w:val="77694145"/>
    <w:rsid w:val="77FC4047"/>
    <w:rsid w:val="78362854"/>
    <w:rsid w:val="788E7562"/>
    <w:rsid w:val="78923097"/>
    <w:rsid w:val="78ABDBBD"/>
    <w:rsid w:val="797B82AE"/>
    <w:rsid w:val="79C896F5"/>
    <w:rsid w:val="79ED7881"/>
    <w:rsid w:val="7A4F9106"/>
    <w:rsid w:val="7ABF1B43"/>
    <w:rsid w:val="7B128F14"/>
    <w:rsid w:val="7BF03F7F"/>
    <w:rsid w:val="7D4308BC"/>
    <w:rsid w:val="7DFFEF5F"/>
    <w:rsid w:val="7E75A4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EB13A"/>
  <w15:chartTrackingRefBased/>
  <w15:docId w15:val="{01D8CDF3-DA4A-4B57-BF4F-2604B5EB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CE0"/>
    <w:pPr>
      <w:spacing w:after="0" w:line="240" w:lineRule="auto"/>
    </w:pPr>
  </w:style>
  <w:style w:type="table" w:styleId="TableGrid">
    <w:name w:val="Table Grid"/>
    <w:basedOn w:val="TableNormal"/>
    <w:uiPriority w:val="39"/>
    <w:rsid w:val="0082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47"/>
  </w:style>
  <w:style w:type="paragraph" w:styleId="Footer">
    <w:name w:val="footer"/>
    <w:basedOn w:val="Normal"/>
    <w:link w:val="FooterChar"/>
    <w:uiPriority w:val="99"/>
    <w:unhideWhenUsed/>
    <w:rsid w:val="006D3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47"/>
  </w:style>
  <w:style w:type="paragraph" w:styleId="BodyText">
    <w:name w:val="Body Text"/>
    <w:basedOn w:val="Normal"/>
    <w:link w:val="BodyTextChar"/>
    <w:uiPriority w:val="1"/>
    <w:qFormat/>
    <w:rsid w:val="002753A7"/>
    <w:pPr>
      <w:widowControl w:val="0"/>
      <w:autoSpaceDE w:val="0"/>
      <w:autoSpaceDN w:val="0"/>
      <w:spacing w:after="0" w:line="240" w:lineRule="auto"/>
    </w:pPr>
    <w:rPr>
      <w:rFonts w:ascii="Lucida Sans Unicode" w:eastAsia="Lucida Sans Unicode" w:hAnsi="Lucida Sans Unicode" w:cs="Lucida Sans Unicode"/>
      <w:sz w:val="24"/>
      <w:szCs w:val="24"/>
      <w:lang w:val="en-US"/>
    </w:rPr>
  </w:style>
  <w:style w:type="character" w:customStyle="1" w:styleId="BodyTextChar">
    <w:name w:val="Body Text Char"/>
    <w:basedOn w:val="DefaultParagraphFont"/>
    <w:link w:val="BodyText"/>
    <w:uiPriority w:val="1"/>
    <w:rsid w:val="002753A7"/>
    <w:rPr>
      <w:rFonts w:ascii="Lucida Sans Unicode" w:eastAsia="Lucida Sans Unicode" w:hAnsi="Lucida Sans Unicode" w:cs="Lucida Sans Unicode"/>
      <w:sz w:val="24"/>
      <w:szCs w:val="24"/>
      <w:lang w:val="en-US"/>
    </w:rPr>
  </w:style>
  <w:style w:type="paragraph" w:styleId="CommentText">
    <w:name w:val="annotation text"/>
    <w:basedOn w:val="Normal"/>
    <w:link w:val="CommentTextChar"/>
    <w:uiPriority w:val="99"/>
    <w:unhideWhenUsed/>
    <w:rsid w:val="00880F2C"/>
    <w:pPr>
      <w:spacing w:line="240" w:lineRule="auto"/>
    </w:pPr>
    <w:rPr>
      <w:sz w:val="20"/>
      <w:szCs w:val="20"/>
    </w:rPr>
  </w:style>
  <w:style w:type="character" w:customStyle="1" w:styleId="CommentTextChar">
    <w:name w:val="Comment Text Char"/>
    <w:basedOn w:val="DefaultParagraphFont"/>
    <w:link w:val="CommentText"/>
    <w:uiPriority w:val="99"/>
    <w:rsid w:val="00880F2C"/>
    <w:rPr>
      <w:sz w:val="20"/>
      <w:szCs w:val="20"/>
    </w:rPr>
  </w:style>
  <w:style w:type="character" w:styleId="CommentReference">
    <w:name w:val="annotation reference"/>
    <w:basedOn w:val="DefaultParagraphFont"/>
    <w:uiPriority w:val="99"/>
    <w:semiHidden/>
    <w:unhideWhenUsed/>
    <w:rsid w:val="00880F2C"/>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72652"/>
    <w:rPr>
      <w:b/>
      <w:bCs/>
    </w:rPr>
  </w:style>
  <w:style w:type="character" w:customStyle="1" w:styleId="CommentSubjectChar">
    <w:name w:val="Comment Subject Char"/>
    <w:basedOn w:val="CommentTextChar"/>
    <w:link w:val="CommentSubject"/>
    <w:uiPriority w:val="99"/>
    <w:semiHidden/>
    <w:rsid w:val="00D72652"/>
    <w:rPr>
      <w:b/>
      <w:bCs/>
      <w:sz w:val="20"/>
      <w:szCs w:val="20"/>
    </w:rPr>
  </w:style>
  <w:style w:type="paragraph" w:styleId="Revision">
    <w:name w:val="Revision"/>
    <w:hidden/>
    <w:uiPriority w:val="99"/>
    <w:semiHidden/>
    <w:rsid w:val="0095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1231275-649A-4214-ABC5-60E3B27F02D7}">
    <t:Anchor>
      <t:Comment id="1847119155"/>
    </t:Anchor>
    <t:History>
      <t:Event id="{25EE08CA-26AE-452E-9E43-BB2A9A045924}" time="2023-09-18T16:17:25.322Z">
        <t:Attribution userId="S::shumailla.dar@harrow.gov.uk::c90ab27a-d711-4096-b25b-40fdb3c45a33" userProvider="AD" userName="Shumailla Dar"/>
        <t:Anchor>
          <t:Comment id="1847119155"/>
        </t:Anchor>
        <t:Create/>
      </t:Event>
      <t:Event id="{763DA4A8-043F-4F74-874A-0EAC8B0BC803}" time="2023-09-18T16:17:25.322Z">
        <t:Attribution userId="S::shumailla.dar@harrow.gov.uk::c90ab27a-d711-4096-b25b-40fdb3c45a33" userProvider="AD" userName="Shumailla Dar"/>
        <t:Anchor>
          <t:Comment id="1847119155"/>
        </t:Anchor>
        <t:Assign userId="S::Johanna.Morgan@harrow.gov.uk::6b4d6f6a-0c6e-4be8-b88f-a2adf62e23df" userProvider="AD" userName="Johanna Morgan"/>
      </t:Event>
      <t:Event id="{EBD6F497-356C-4A8F-9AE1-DA961A6AE970}" time="2023-09-18T16:17:25.322Z">
        <t:Attribution userId="S::shumailla.dar@harrow.gov.uk::c90ab27a-d711-4096-b25b-40fdb3c45a33" userProvider="AD" userName="Shumailla Dar"/>
        <t:Anchor>
          <t:Comment id="1847119155"/>
        </t:Anchor>
        <t:SetTitle title="@Johanna Morgan apologies for the short notice, but Senel would like you to respond to this peer review recommend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Yasmeen Hussein</DisplayName>
        <AccountId>2176</AccountId>
        <AccountType/>
      </UserInfo>
      <UserInfo>
        <DisplayName>Sharon Daniels</DisplayName>
        <AccountId>1799</AccountId>
        <AccountType/>
      </UserInfo>
      <UserInfo>
        <DisplayName>Shumailla Dar</DisplayName>
        <AccountId>13</AccountId>
        <AccountType/>
      </UserInfo>
      <UserInfo>
        <DisplayName>Tahira Bakhtiari</DisplayName>
        <AccountId>12</AccountId>
        <AccountType/>
      </UserInfo>
      <UserInfo>
        <DisplayName>Uma Anakarla</DisplayName>
        <AccountId>2185</AccountId>
        <AccountType/>
      </UserInfo>
      <UserInfo>
        <DisplayName>Kay Odubanjo</DisplayName>
        <AccountId>2186</AccountId>
        <AccountType/>
      </UserInfo>
      <UserInfo>
        <DisplayName>Lucinda Gray</DisplayName>
        <AccountId>2183</AccountId>
        <AccountType/>
      </UserInfo>
      <UserInfo>
        <DisplayName>Chandni Joshi</DisplayName>
        <AccountId>2138</AccountId>
        <AccountType/>
      </UserInfo>
      <UserInfo>
        <DisplayName>Ben Goward</DisplayName>
        <AccountId>1991</AccountId>
        <AccountType/>
      </UserInfo>
      <UserInfo>
        <DisplayName>Minali Jones</DisplayName>
        <AccountId>2187</AccountId>
        <AccountType/>
      </UserInfo>
      <UserInfo>
        <DisplayName>Senel Arkut</DisplayName>
        <AccountId>1840</AccountId>
        <AccountType/>
      </UserInfo>
      <UserInfo>
        <DisplayName>Katarzyna Ruminska</DisplayName>
        <AccountId>1988</AccountId>
        <AccountType/>
      </UserInfo>
      <UserInfo>
        <DisplayName>Ben Jones</DisplayName>
        <AccountId>114</AccountId>
        <AccountType/>
      </UserInfo>
      <UserInfo>
        <DisplayName>Adika Tamice Wright</DisplayName>
        <AccountId>2189</AccountId>
        <AccountType/>
      </UserInfo>
      <UserInfo>
        <DisplayName>Nahreen Matlib</DisplayName>
        <AccountId>17</AccountId>
        <AccountType/>
      </UserInfo>
      <UserInfo>
        <DisplayName>Johanna Morgan</DisplayName>
        <AccountId>1969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7" ma:contentTypeDescription="Create a new document." ma:contentTypeScope="" ma:versionID="8f2d563e612ebb5541d49b7c44a66bf7">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e4f4f2fa40002b131ebdd0def5b672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A8315-E553-4B4B-81DD-F928A959177B}">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2.xml><?xml version="1.0" encoding="utf-8"?>
<ds:datastoreItem xmlns:ds="http://schemas.openxmlformats.org/officeDocument/2006/customXml" ds:itemID="{429CE7CB-A18B-4056-B16F-211E1E38622F}">
  <ds:schemaRefs>
    <ds:schemaRef ds:uri="http://schemas.microsoft.com/sharepoint/v3/contenttype/forms"/>
  </ds:schemaRefs>
</ds:datastoreItem>
</file>

<file path=customXml/itemProps3.xml><?xml version="1.0" encoding="utf-8"?>
<ds:datastoreItem xmlns:ds="http://schemas.openxmlformats.org/officeDocument/2006/customXml" ds:itemID="{27B30104-3A36-4950-BF30-B81B9C55D305}">
  <ds:schemaRefs>
    <ds:schemaRef ds:uri="http://schemas.openxmlformats.org/officeDocument/2006/bibliography"/>
  </ds:schemaRefs>
</ds:datastoreItem>
</file>

<file path=customXml/itemProps4.xml><?xml version="1.0" encoding="utf-8"?>
<ds:datastoreItem xmlns:ds="http://schemas.openxmlformats.org/officeDocument/2006/customXml" ds:itemID="{8DBC00FD-9DDE-4376-AC5A-BDA9C3C92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Nahreen Matlib</cp:lastModifiedBy>
  <cp:revision>19</cp:revision>
  <dcterms:created xsi:type="dcterms:W3CDTF">2023-09-25T14:55:00Z</dcterms:created>
  <dcterms:modified xsi:type="dcterms:W3CDTF">2023-10-10T18:57:00Z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